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44" w:rsidRPr="00023835" w:rsidRDefault="00DE0644" w:rsidP="00DE0644">
      <w:pPr>
        <w:shd w:val="clear" w:color="auto" w:fill="FFFFFF"/>
        <w:spacing w:before="120" w:after="120" w:line="360" w:lineRule="exact"/>
        <w:jc w:val="center"/>
        <w:rPr>
          <w:rFonts w:eastAsia="Times New Roman" w:cs="Times New Roman"/>
          <w:b/>
          <w:szCs w:val="28"/>
        </w:rPr>
      </w:pPr>
      <w:r w:rsidRPr="00023835">
        <w:rPr>
          <w:rFonts w:eastAsia="Times New Roman" w:cs="Times New Roman"/>
          <w:b/>
          <w:szCs w:val="28"/>
        </w:rPr>
        <w:t>TÀ</w:t>
      </w:r>
      <w:r>
        <w:rPr>
          <w:rFonts w:eastAsia="Times New Roman" w:cs="Times New Roman"/>
          <w:b/>
          <w:szCs w:val="28"/>
        </w:rPr>
        <w:t>I LIỆU SINH HOẠT CHI BỘ THÁNG 11</w:t>
      </w:r>
      <w:r w:rsidRPr="00023835">
        <w:rPr>
          <w:rFonts w:eastAsia="Times New Roman" w:cs="Times New Roman"/>
          <w:b/>
          <w:szCs w:val="28"/>
        </w:rPr>
        <w:t>-2023</w:t>
      </w:r>
    </w:p>
    <w:p w:rsidR="00DE0644" w:rsidRPr="00023835" w:rsidRDefault="00DE0644" w:rsidP="00DE0644">
      <w:pPr>
        <w:shd w:val="clear" w:color="auto" w:fill="FFFFFF"/>
        <w:spacing w:before="120" w:after="120" w:line="360" w:lineRule="exact"/>
        <w:ind w:firstLine="567"/>
        <w:jc w:val="both"/>
        <w:rPr>
          <w:rFonts w:eastAsia="Times New Roman" w:cs="Times New Roman"/>
          <w:b/>
          <w:bCs/>
          <w:szCs w:val="28"/>
        </w:rPr>
      </w:pPr>
      <w:r w:rsidRPr="00023835">
        <w:rPr>
          <w:rFonts w:eastAsia="Times New Roman" w:cs="Times New Roman"/>
          <w:b/>
          <w:bCs/>
          <w:szCs w:val="28"/>
        </w:rPr>
        <w:t>A. ĐỊNH HƯỚNG</w:t>
      </w:r>
      <w:r>
        <w:rPr>
          <w:rFonts w:eastAsia="Times New Roman" w:cs="Times New Roman"/>
          <w:b/>
          <w:bCs/>
          <w:szCs w:val="28"/>
        </w:rPr>
        <w:t xml:space="preserve"> SINH HOẠT CHI BỘ TRONG THÁNG 11</w:t>
      </w:r>
      <w:r w:rsidRPr="00023835">
        <w:rPr>
          <w:rFonts w:eastAsia="Times New Roman" w:cs="Times New Roman"/>
          <w:b/>
          <w:bCs/>
          <w:szCs w:val="28"/>
        </w:rPr>
        <w:t>-2023</w:t>
      </w:r>
    </w:p>
    <w:p w:rsidR="00DE0644" w:rsidRPr="00023835" w:rsidRDefault="00DE0644" w:rsidP="00DE0644">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szCs w:val="28"/>
        </w:rPr>
        <w:t xml:space="preserve">Các cấp ủy, chi bộ </w:t>
      </w:r>
      <w:r w:rsidRPr="00023835">
        <w:rPr>
          <w:rFonts w:eastAsia="Times New Roman" w:cs="Times New Roman"/>
          <w:b/>
          <w:szCs w:val="28"/>
        </w:rPr>
        <w:t>lựa chọn những nội dung</w:t>
      </w:r>
      <w:r w:rsidRPr="00023835">
        <w:rPr>
          <w:rFonts w:eastAsia="Times New Roman" w:cs="Times New Roman"/>
          <w:szCs w:val="28"/>
        </w:rPr>
        <w:t xml:space="preserve"> t</w:t>
      </w:r>
      <w:r>
        <w:rPr>
          <w:rFonts w:eastAsia="Times New Roman" w:cs="Times New Roman"/>
          <w:szCs w:val="28"/>
        </w:rPr>
        <w:t>rong Tài liệu sinh hoạt tháng 11</w:t>
      </w:r>
      <w:r w:rsidRPr="00023835">
        <w:rPr>
          <w:rFonts w:eastAsia="Times New Roman" w:cs="Times New Roman"/>
          <w:szCs w:val="28"/>
        </w:rPr>
        <w:t>/2023 để sinh hoạt chi bộ. Tập trung tuyên truyền, thông tin các nội dung:</w:t>
      </w:r>
    </w:p>
    <w:p w:rsidR="00DE0644" w:rsidRPr="00877F01" w:rsidRDefault="00DE0644" w:rsidP="00DE0644">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szCs w:val="28"/>
        </w:rPr>
        <w:t>1.</w:t>
      </w:r>
      <w:r w:rsidRPr="00023835">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r w:rsidR="00877F01" w:rsidRPr="006A640F">
        <w:rPr>
          <w:rFonts w:eastAsia="Times New Roman" w:cs="Times New Roman"/>
          <w:color w:val="333333"/>
          <w:szCs w:val="28"/>
        </w:rPr>
        <w:t xml:space="preserve"> trong tháng 11-2023</w:t>
      </w:r>
      <w:r w:rsidR="00877F01" w:rsidRPr="006A640F">
        <w:rPr>
          <w:rFonts w:eastAsia="Times New Roman" w:cs="Times New Roman"/>
          <w:b/>
          <w:bCs/>
          <w:color w:val="333333"/>
          <w:szCs w:val="28"/>
        </w:rPr>
        <w:t>. </w:t>
      </w:r>
      <w:r w:rsidR="00877F01" w:rsidRPr="006A640F">
        <w:rPr>
          <w:rFonts w:eastAsia="Times New Roman" w:cs="Times New Roman"/>
          <w:color w:val="333333"/>
          <w:szCs w:val="28"/>
        </w:rPr>
        <w:t>Trong đó, tập trung tuyên truyền Ngày Pháp luật nước Cộng hòa xã hội chủ nghĩa Việt Nam (9/11); 41 năm Ngày Nhà giáo Việt Nam (20/11); 77 năm Ngày thành lập Hội Chữ Thập đỏ Việt Nam (23/11); </w:t>
      </w:r>
      <w:r w:rsidR="00877F01" w:rsidRPr="00877F01">
        <w:rPr>
          <w:rFonts w:eastAsia="Times New Roman" w:cs="Times New Roman"/>
          <w:iCs/>
          <w:color w:val="333333"/>
          <w:szCs w:val="28"/>
        </w:rPr>
        <w:t>203 năm Ngày sinh Ph.Ăng-ghen (28/11). Tuyên truyền đậm nét Ngày hội </w:t>
      </w:r>
      <w:r w:rsidR="00877F01" w:rsidRPr="00877F01">
        <w:rPr>
          <w:rFonts w:eastAsia="Times New Roman" w:cs="Times New Roman"/>
          <w:color w:val="333333"/>
          <w:szCs w:val="28"/>
        </w:rPr>
        <w:t>Đại đoàn kết toàn dân tộc năm 2023 và </w:t>
      </w:r>
      <w:r w:rsidR="00877F01" w:rsidRPr="00877F01">
        <w:rPr>
          <w:rFonts w:eastAsia="Times New Roman" w:cs="Times New Roman"/>
          <w:iCs/>
          <w:color w:val="333333"/>
          <w:szCs w:val="28"/>
        </w:rPr>
        <w:t>93 năm Ngày truyền thống Mặt trận Tổ quốc Việt Nam (18/11)</w:t>
      </w:r>
      <w:r w:rsidR="00877F01" w:rsidRPr="00877F01">
        <w:rPr>
          <w:rFonts w:eastAsia="Times New Roman" w:cs="Times New Roman"/>
          <w:color w:val="333333"/>
          <w:szCs w:val="28"/>
        </w:rPr>
        <w:t>.</w:t>
      </w:r>
    </w:p>
    <w:p w:rsidR="00DE0644" w:rsidRDefault="00DE0644" w:rsidP="00DE0644">
      <w:pPr>
        <w:shd w:val="clear" w:color="auto" w:fill="FFFFFF"/>
        <w:spacing w:before="120" w:after="120" w:line="340" w:lineRule="exact"/>
        <w:ind w:firstLine="567"/>
        <w:jc w:val="both"/>
        <w:rPr>
          <w:rFonts w:eastAsia="Times New Roman" w:cs="Times New Roman"/>
          <w:color w:val="333333"/>
          <w:szCs w:val="28"/>
        </w:rPr>
      </w:pPr>
      <w:r>
        <w:rPr>
          <w:rFonts w:eastAsia="Times New Roman" w:cs="Times New Roman"/>
          <w:b/>
          <w:bCs/>
          <w:color w:val="333333"/>
          <w:szCs w:val="28"/>
        </w:rPr>
        <w:t>2</w:t>
      </w:r>
      <w:r w:rsidRPr="006A640F">
        <w:rPr>
          <w:rFonts w:eastAsia="Times New Roman" w:cs="Times New Roman"/>
          <w:b/>
          <w:bCs/>
          <w:color w:val="333333"/>
          <w:szCs w:val="28"/>
        </w:rPr>
        <w:t>.</w:t>
      </w:r>
      <w:r w:rsidRPr="006A640F">
        <w:rPr>
          <w:rFonts w:eastAsia="Times New Roman" w:cs="Times New Roman"/>
          <w:color w:val="333333"/>
          <w:szCs w:val="28"/>
        </w:rPr>
        <w:t> Tiếp tục đẩy mạnh tuyên truyền kết quả Hội nghị lần thứ 8, Ban Chấp hành Trung ương Đảng khóa XIII. Tuyên truyền kết quả sau 10 năm thực hiện Nghị quyết Trung ương 5, khoá XI về một số vấn đề chính sách xã hội; 20 năm thực hiện Nghị quyết Trung ương 7, khoá IX về phát huy sức mạnh đại đoàn kết toàn dân tộc; 10 năm thực hiện Nghị quyết Trung ương 8, khoá XI về Chiến lược bảo vệ Tổ quốc trong tình hình mới.</w:t>
      </w:r>
    </w:p>
    <w:p w:rsidR="00877F01" w:rsidRDefault="00DE0644" w:rsidP="00DE0644">
      <w:pPr>
        <w:shd w:val="clear" w:color="auto" w:fill="FFFFFF"/>
        <w:spacing w:before="120" w:after="120" w:line="340" w:lineRule="exact"/>
        <w:ind w:firstLine="567"/>
        <w:jc w:val="both"/>
        <w:rPr>
          <w:rFonts w:eastAsia="Times New Roman" w:cs="Times New Roman"/>
          <w:color w:val="333333"/>
          <w:szCs w:val="28"/>
        </w:rPr>
      </w:pPr>
      <w:r w:rsidRPr="00877F01">
        <w:rPr>
          <w:rFonts w:eastAsia="Times New Roman" w:cs="Times New Roman"/>
          <w:b/>
          <w:color w:val="333333"/>
          <w:szCs w:val="28"/>
        </w:rPr>
        <w:t>3</w:t>
      </w:r>
      <w:r w:rsidRPr="00877F01">
        <w:rPr>
          <w:rFonts w:eastAsia="Times New Roman" w:cs="Times New Roman"/>
          <w:b/>
          <w:bCs/>
          <w:color w:val="333333"/>
          <w:szCs w:val="28"/>
        </w:rPr>
        <w:t>.</w:t>
      </w:r>
      <w:r w:rsidRPr="006A640F">
        <w:rPr>
          <w:rFonts w:eastAsia="Times New Roman" w:cs="Times New Roman"/>
          <w:color w:val="333333"/>
          <w:szCs w:val="28"/>
        </w:rPr>
        <w:t> Đẩy mạnh tuyên truyền, nâng cao nhận thức, trách nhiệm của cấp ủy, tổ chức đảng, chính quyền, hệ thống chính trị, cán bộ, đảng viên, Nhân dân, tạo sự thống nhất cao trong Đảng và xã hội về vị trí, vai trò quan trọng của đội ngũ doanh nhân trong quá trình thực hiện các mục tiêu phát triển đất nước theo Nghị quyết số 41-NQ/TW, ngày 10-10-2023 của Bộ Chính trị </w:t>
      </w:r>
      <w:r w:rsidRPr="006A640F">
        <w:rPr>
          <w:rFonts w:eastAsia="Times New Roman" w:cs="Times New Roman"/>
          <w:i/>
          <w:iCs/>
          <w:color w:val="333333"/>
          <w:szCs w:val="28"/>
        </w:rPr>
        <w:t>"về xây dựng và phát huy vai trò của đội ngũ doanh nhân Việt Nam trong thời kỳ mới"</w:t>
      </w:r>
      <w:r w:rsidRPr="006A640F">
        <w:rPr>
          <w:rFonts w:eastAsia="Times New Roman" w:cs="Times New Roman"/>
          <w:color w:val="333333"/>
          <w:szCs w:val="28"/>
        </w:rPr>
        <w:t>. Tuyên truyền Kết luận số 62-KL/TW, ngày 02-10-2023 của Bộ Chính trị </w:t>
      </w:r>
      <w:r w:rsidRPr="006A640F">
        <w:rPr>
          <w:rFonts w:eastAsia="Times New Roman" w:cs="Times New Roman"/>
          <w:i/>
          <w:iCs/>
          <w:color w:val="333333"/>
          <w:szCs w:val="28"/>
        </w:rPr>
        <w:t>"về thực hiện Nghị quyết số 19-NQ/TW, ngày 25-10-2017 của Ban Chấp hành Trung ương Đảng khóa XII về tiếp tục đổi mới hệ thống tổ chức và quản lý, nâng cao chất lượng và hiệu quả hoạt động của các đơn vị sự nghiệp công lập"</w:t>
      </w:r>
      <w:r w:rsidRPr="006A640F">
        <w:rPr>
          <w:rFonts w:eastAsia="Times New Roman" w:cs="Times New Roman"/>
          <w:color w:val="333333"/>
          <w:szCs w:val="28"/>
        </w:rPr>
        <w:t>.</w:t>
      </w:r>
    </w:p>
    <w:p w:rsidR="00113634" w:rsidRDefault="00877F01" w:rsidP="00DE0644">
      <w:pPr>
        <w:shd w:val="clear" w:color="auto" w:fill="FFFFFF"/>
        <w:spacing w:before="120" w:after="120" w:line="340" w:lineRule="exact"/>
        <w:ind w:firstLine="567"/>
        <w:jc w:val="both"/>
        <w:rPr>
          <w:rFonts w:eastAsia="Times New Roman" w:cs="Times New Roman"/>
          <w:color w:val="333333"/>
          <w:szCs w:val="28"/>
        </w:rPr>
      </w:pPr>
      <w:r w:rsidRPr="00877F01">
        <w:rPr>
          <w:rFonts w:eastAsia="Times New Roman" w:cs="Times New Roman"/>
          <w:b/>
          <w:color w:val="333333"/>
          <w:szCs w:val="28"/>
        </w:rPr>
        <w:t>4</w:t>
      </w:r>
      <w:r w:rsidR="00DE0644" w:rsidRPr="00877F01">
        <w:rPr>
          <w:rFonts w:eastAsia="Times New Roman" w:cs="Times New Roman"/>
          <w:b/>
          <w:bCs/>
          <w:color w:val="333333"/>
          <w:szCs w:val="28"/>
        </w:rPr>
        <w:t>.</w:t>
      </w:r>
      <w:r w:rsidR="00DE0644" w:rsidRPr="006A640F">
        <w:rPr>
          <w:rFonts w:eastAsia="Times New Roman" w:cs="Times New Roman"/>
          <w:color w:val="333333"/>
          <w:szCs w:val="28"/>
        </w:rPr>
        <w:t> Tuyên truyền Kỳ họp thứ 6 Quốc hội khóa XV</w:t>
      </w:r>
      <w:r w:rsidR="00DE0644" w:rsidRPr="006A640F">
        <w:rPr>
          <w:rFonts w:eastAsia="Times New Roman" w:cs="Times New Roman"/>
          <w:i/>
          <w:iCs/>
          <w:color w:val="333333"/>
          <w:szCs w:val="28"/>
        </w:rPr>
        <w:t> (Kỳ họp diễn ra từ ngày 23-10-2023 đến ngày 28-11-2023)</w:t>
      </w:r>
      <w:r w:rsidR="00DE0644" w:rsidRPr="006A640F">
        <w:rPr>
          <w:rFonts w:eastAsia="Times New Roman" w:cs="Times New Roman"/>
          <w:color w:val="333333"/>
          <w:szCs w:val="28"/>
        </w:rPr>
        <w:t>. Tại Kỳ họp lần này, Quốc hội dự kiến xem xét, thông qua 09 dự án luật và cho ý kiến 08 dự án luật; xem xét, quyết định các vấn đề kinh tế - xã hội, ngân sách nhà nước năm 2023, năm 2024 và các vấn đề quan trọng khác, trong đó có Quy hoạch không gian biển quốc gia, tuyên truyền nhấn mạnh một số nội dung sau: </w:t>
      </w:r>
      <w:r w:rsidR="00DE0644" w:rsidRPr="006A640F">
        <w:rPr>
          <w:rFonts w:eastAsia="Times New Roman" w:cs="Times New Roman"/>
          <w:i/>
          <w:iCs/>
          <w:color w:val="333333"/>
          <w:szCs w:val="28"/>
        </w:rPr>
        <w:t xml:space="preserve">(i) Quy hoạch không gian biển có ý nghĩa quan trong đối với các quốc gia có Biển; (ii) Quy hoạch không gian biển là công cụ quan trọng để cụ thể hóa “Quy hoạch tổng thể quốc gia”; (iii) Quy hoạch không gian biển có ý nghĩa là loại quy hoạch đa ngành, lần đầu tiên được lập ở Việt Nam; (iv) Quy hoạch không gian biển mang tính tổng hợp, được lập theo cách tiếp cận không gian, nhằm phân bổ, sắp xếp không gian biển cho các ngành, lĩnh vực hoạt động, thông tin, dữ liệu đầu vào cho việc lập quy hoạch phức tạp, mang tính tổng hợp và đa ngành; (v) Lập quy hoạch không gian biển có ý nghĩa nhằm hướng tới </w:t>
      </w:r>
      <w:r w:rsidR="00DE0644" w:rsidRPr="006A640F">
        <w:rPr>
          <w:rFonts w:eastAsia="Times New Roman" w:cs="Times New Roman"/>
          <w:i/>
          <w:iCs/>
          <w:color w:val="333333"/>
          <w:szCs w:val="28"/>
        </w:rPr>
        <w:lastRenderedPageBreak/>
        <w:t>mục tiêu toàn bộ các vùng biển Việt Nam được quản lý hiệu quả và sử dụng bền vững theo không gian, đáp ứng yêu cầu phát triển kinh tế - xã hội và quốc phòng, an ninh; phù hợp với điều kiện tự nhiên, kinh tế - xã hội, sức chống chịu, sức tải môi trường, hệ sinh thái biển, hải đảo và hoàn thành mục tiêu đưa Việt Nam trở thành quốc gia giàu, mạnh về biển theo tinh thần Nghị quyết Đại hội XIII của Đảng.</w:t>
      </w:r>
      <w:r w:rsidR="00DE0644" w:rsidRPr="006A640F">
        <w:rPr>
          <w:rFonts w:eastAsia="Times New Roman" w:cs="Times New Roman"/>
          <w:color w:val="333333"/>
          <w:szCs w:val="28"/>
        </w:rPr>
        <w:br/>
      </w:r>
      <w:r>
        <w:rPr>
          <w:rFonts w:eastAsia="Times New Roman" w:cs="Times New Roman"/>
          <w:b/>
          <w:bCs/>
          <w:color w:val="333333"/>
          <w:szCs w:val="28"/>
        </w:rPr>
        <w:tab/>
        <w:t>5.</w:t>
      </w:r>
      <w:r w:rsidR="00165966">
        <w:rPr>
          <w:rFonts w:eastAsia="Times New Roman" w:cs="Times New Roman"/>
          <w:b/>
          <w:bCs/>
          <w:color w:val="333333"/>
          <w:szCs w:val="28"/>
        </w:rPr>
        <w:t xml:space="preserve"> </w:t>
      </w:r>
      <w:r w:rsidR="00DE0644" w:rsidRPr="006A640F">
        <w:rPr>
          <w:rFonts w:eastAsia="Times New Roman" w:cs="Times New Roman"/>
          <w:color w:val="333333"/>
          <w:szCs w:val="28"/>
        </w:rPr>
        <w:t>Tuyên truyền về việc triển khai thực hiện Nghị định 73/2023/NĐ-CP ngày 29-9-2023 của Chính phủ về khuyến khích, bảo vệ cán bộ năng động, sáng tạo, dám nghĩ, dám làm, dám chịu trách nhiệm vì lợi ích chung.</w:t>
      </w:r>
    </w:p>
    <w:p w:rsidR="00DE0644" w:rsidRDefault="00877F01" w:rsidP="00DE0644">
      <w:pPr>
        <w:shd w:val="clear" w:color="auto" w:fill="FFFFFF"/>
        <w:spacing w:before="120" w:after="120" w:line="340" w:lineRule="exact"/>
        <w:ind w:firstLine="567"/>
        <w:jc w:val="both"/>
        <w:rPr>
          <w:rFonts w:eastAsia="Times New Roman" w:cs="Times New Roman"/>
          <w:color w:val="333333"/>
          <w:szCs w:val="28"/>
        </w:rPr>
      </w:pPr>
      <w:r>
        <w:rPr>
          <w:rFonts w:eastAsia="Times New Roman" w:cs="Times New Roman"/>
          <w:b/>
          <w:bCs/>
          <w:color w:val="333333"/>
          <w:szCs w:val="28"/>
        </w:rPr>
        <w:t>6</w:t>
      </w:r>
      <w:r w:rsidR="00DE0644" w:rsidRPr="006A640F">
        <w:rPr>
          <w:rFonts w:eastAsia="Times New Roman" w:cs="Times New Roman"/>
          <w:b/>
          <w:bCs/>
          <w:color w:val="333333"/>
          <w:szCs w:val="28"/>
        </w:rPr>
        <w:t>.</w:t>
      </w:r>
      <w:r w:rsidR="00DE0644" w:rsidRPr="006A640F">
        <w:rPr>
          <w:rFonts w:eastAsia="Times New Roman" w:cs="Times New Roman"/>
          <w:color w:val="333333"/>
          <w:szCs w:val="28"/>
        </w:rPr>
        <w:t> Tuyên truyền Nghị quyết số 22-NQ/TU, ngày 29-9-2023 của Tỉnh ủy </w:t>
      </w:r>
      <w:r w:rsidR="00DE0644" w:rsidRPr="006A640F">
        <w:rPr>
          <w:rFonts w:eastAsia="Times New Roman" w:cs="Times New Roman"/>
          <w:i/>
          <w:iCs/>
          <w:color w:val="333333"/>
          <w:szCs w:val="28"/>
        </w:rPr>
        <w:t>"về lãnh đạo thực hiện nhiệm vụ kinh tế - xã hội, quốc phòng, an ninh, xây dựng Đảng và hệ thống chính trị các tháng cuối năm 2023"</w:t>
      </w:r>
      <w:r w:rsidR="00DE0644" w:rsidRPr="006A640F">
        <w:rPr>
          <w:rFonts w:eastAsia="Times New Roman" w:cs="Times New Roman"/>
          <w:color w:val="333333"/>
          <w:szCs w:val="28"/>
        </w:rPr>
        <w:t>; sơ kết Nghị quyết số 02-NQ/TU, ngày 06-5-2021 của Tỉnh ủy </w:t>
      </w:r>
      <w:r w:rsidR="00DE0644" w:rsidRPr="006A640F">
        <w:rPr>
          <w:rFonts w:eastAsia="Times New Roman" w:cs="Times New Roman"/>
          <w:i/>
          <w:iCs/>
          <w:color w:val="333333"/>
          <w:szCs w:val="28"/>
        </w:rPr>
        <w:t>"về nâng cao chất lượng giáo dục đối với học sinh dân tộc thiểu số tính đến năm 2025, định hướng đến năm 2030".</w:t>
      </w:r>
      <w:r w:rsidR="00DE0644" w:rsidRPr="006A640F">
        <w:rPr>
          <w:rFonts w:eastAsia="Times New Roman" w:cs="Times New Roman"/>
          <w:color w:val="333333"/>
          <w:szCs w:val="28"/>
        </w:rPr>
        <w:t> Tiếp tục đẩy mạnh tuyên truyền giáo dục cán bộ, đảng viên và Nhân dân chấp hành tốt các chủ trương của Đảng, chính sách pháp luật của Nhà nước; tích cực tham gia giữ gìn an ninh trật tự, an toàn xã hội, nhất là ở cơ sở.</w:t>
      </w:r>
    </w:p>
    <w:p w:rsidR="00EB2BC7" w:rsidRPr="00EB2BC7" w:rsidRDefault="00EB2BC7" w:rsidP="00EB2BC7">
      <w:pPr>
        <w:shd w:val="clear" w:color="auto" w:fill="FFFFFF"/>
        <w:spacing w:before="100" w:after="100" w:line="360" w:lineRule="exact"/>
        <w:ind w:firstLine="567"/>
        <w:jc w:val="both"/>
        <w:rPr>
          <w:rFonts w:eastAsia="Times New Roman" w:cs="Times New Roman"/>
          <w:b/>
          <w:color w:val="000000" w:themeColor="text1"/>
          <w:szCs w:val="28"/>
        </w:rPr>
      </w:pPr>
      <w:r>
        <w:rPr>
          <w:rFonts w:eastAsia="Times New Roman" w:cs="Times New Roman"/>
          <w:b/>
          <w:color w:val="000000" w:themeColor="text1"/>
          <w:szCs w:val="28"/>
        </w:rPr>
        <w:t>B. THÔNG TIN THỜI SỰ</w:t>
      </w:r>
    </w:p>
    <w:p w:rsidR="00DE0644" w:rsidRPr="00E33006" w:rsidRDefault="00DE0644" w:rsidP="00DE0644">
      <w:pPr>
        <w:shd w:val="clear" w:color="auto" w:fill="FFFFFF"/>
        <w:spacing w:before="120" w:after="120" w:line="340" w:lineRule="exact"/>
        <w:ind w:firstLine="567"/>
        <w:jc w:val="both"/>
        <w:rPr>
          <w:rFonts w:eastAsia="Times New Roman" w:cs="Times New Roman"/>
          <w:b/>
          <w:szCs w:val="28"/>
        </w:rPr>
      </w:pPr>
      <w:r w:rsidRPr="00023835">
        <w:rPr>
          <w:rFonts w:eastAsia="Times New Roman" w:cs="Times New Roman"/>
          <w:b/>
          <w:szCs w:val="28"/>
        </w:rPr>
        <w:t xml:space="preserve">I. TIN TRONG NƯỚC VÀ QUỐC TẾ: </w:t>
      </w:r>
      <w:r w:rsidRPr="00023835">
        <w:rPr>
          <w:rFonts w:eastAsia="Times New Roman" w:cs="Times New Roman"/>
          <w:szCs w:val="28"/>
        </w:rPr>
        <w:t xml:space="preserve">Các TCCS Đảng có thể tham khảo tại trang TTĐT huyện </w:t>
      </w:r>
      <w:r w:rsidRPr="00E33006">
        <w:rPr>
          <w:rFonts w:eastAsia="Times New Roman" w:cs="Times New Roman"/>
          <w:b/>
          <w:szCs w:val="28"/>
        </w:rPr>
        <w:t xml:space="preserve">(Mục Tài liệu sinh hoạt chi bộ). </w:t>
      </w:r>
    </w:p>
    <w:p w:rsidR="00DE0644" w:rsidRDefault="00DE0644" w:rsidP="00DE0644">
      <w:pPr>
        <w:shd w:val="clear" w:color="auto" w:fill="FFFFFF"/>
        <w:spacing w:before="120" w:after="120" w:line="340" w:lineRule="exact"/>
        <w:ind w:firstLine="567"/>
        <w:jc w:val="both"/>
        <w:rPr>
          <w:rFonts w:eastAsia="Times New Roman" w:cs="Times New Roman"/>
          <w:b/>
          <w:iCs/>
          <w:szCs w:val="28"/>
        </w:rPr>
      </w:pPr>
      <w:r w:rsidRPr="00023835">
        <w:rPr>
          <w:rFonts w:eastAsia="Times New Roman" w:cs="Times New Roman"/>
          <w:b/>
          <w:szCs w:val="28"/>
        </w:rPr>
        <w:t xml:space="preserve">II. </w:t>
      </w:r>
      <w:r w:rsidRPr="00023835">
        <w:rPr>
          <w:rFonts w:eastAsia="Times New Roman" w:cs="Times New Roman"/>
          <w:b/>
          <w:iCs/>
          <w:szCs w:val="28"/>
        </w:rPr>
        <w:t xml:space="preserve">TIN TRONG TỈNH </w:t>
      </w:r>
    </w:p>
    <w:p w:rsidR="00EB2BC7" w:rsidRDefault="00EB2BC7" w:rsidP="00DE0644">
      <w:pPr>
        <w:shd w:val="clear" w:color="auto" w:fill="FFFFFF"/>
        <w:spacing w:before="120" w:after="120" w:line="340" w:lineRule="exact"/>
        <w:ind w:firstLine="567"/>
        <w:jc w:val="both"/>
        <w:rPr>
          <w:rFonts w:eastAsia="Times New Roman" w:cs="Times New Roman"/>
          <w:color w:val="333333"/>
          <w:szCs w:val="28"/>
        </w:rPr>
      </w:pPr>
      <w:r>
        <w:rPr>
          <w:rFonts w:eastAsia="Times New Roman" w:cs="Times New Roman"/>
          <w:b/>
          <w:bCs/>
          <w:color w:val="333333"/>
          <w:szCs w:val="28"/>
        </w:rPr>
        <w:t>1</w:t>
      </w:r>
      <w:r w:rsidRPr="006A640F">
        <w:rPr>
          <w:rFonts w:eastAsia="Times New Roman" w:cs="Times New Roman"/>
          <w:b/>
          <w:bCs/>
          <w:color w:val="333333"/>
          <w:szCs w:val="28"/>
        </w:rPr>
        <w:t>. Qua hơn nửa nhiệm kỳ thực hiện Nghị quyết Đại hội Đảng bộ tỉnh lần thứ XVI,</w:t>
      </w:r>
      <w:r w:rsidRPr="006A640F">
        <w:rPr>
          <w:rFonts w:eastAsia="Times New Roman" w:cs="Times New Roman"/>
          <w:color w:val="333333"/>
          <w:szCs w:val="28"/>
        </w:rPr>
        <w:t> Ban Chấp hành Đảng bộ, Ban Thường vụ Tỉnh ủy quyết liệt trong lãnh đạo, chỉ đạo để tập trung huy động và sử dụng có hiệu quả các nguồn lực trong toàn xã hội với tổng vốn đầu tư toàn xã hội giai đoạn 2021-2023 đạt 67.857 tỷ đồng, đạt 57,51% mục tiêu Nghị quyết, bình quân hàng năm tăng 16,46%. Bên cạnh đó, tỉnh cũng chỉ đạo quyết liệt trong việc giải ngân các nguồn vốn đầu tư công trung hạn, vốn các chương trình mục tiêu quốc gia để đẩy mạnh đầu tư xây dựng kết cấu hạ tầng kinh tế- xã hội.</w:t>
      </w:r>
    </w:p>
    <w:p w:rsidR="00E33006"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 xml:space="preserve">Đặc biệt, việc tập trung đầu tư hạ tầng đô thị và các vùng kinh tế được Ban Chấp hành, Ban Thường vụ Tỉnh ủy thường xuyên lãnh đạo, chỉ đạo, đôn đốc các cấp, ngành, địa phương </w:t>
      </w:r>
      <w:r w:rsidR="00113634">
        <w:rPr>
          <w:rFonts w:eastAsia="Times New Roman" w:cs="Times New Roman"/>
          <w:color w:val="333333"/>
          <w:szCs w:val="28"/>
        </w:rPr>
        <w:t>triển khai thực hiện. T</w:t>
      </w:r>
      <w:r w:rsidRPr="006A640F">
        <w:rPr>
          <w:rFonts w:eastAsia="Times New Roman" w:cs="Times New Roman"/>
          <w:color w:val="333333"/>
          <w:szCs w:val="28"/>
        </w:rPr>
        <w:t>rong giai đoạn 2021-2023, hạ tầng đô thị được cải thiện đáng kể, các vùng kinh tế được tập trung nguồn lực đầu tư và thành phố Kon Tum được công nhận là đô thị loại II vào đầu năm 2023.</w:t>
      </w:r>
      <w:r w:rsidRPr="006A640F">
        <w:rPr>
          <w:rFonts w:eastAsia="Times New Roman" w:cs="Times New Roman"/>
          <w:color w:val="333333"/>
          <w:szCs w:val="28"/>
        </w:rPr>
        <w:br/>
        <w:t xml:space="preserve">Đến nay, trên địa bàn tỉnh có 8 đô thị được công nhận và phân loại (bao gồm 1 đô thị loại II, 1 đô thị loại IV, 6 đô thị loại V). Ngoài ra, còn có 3 trung tâm huyện (trung tâm huyện Tu Mơ Rông, khu vực Đăk Ruồng- Tân Lập, huyện Kon Rẫy và trung tâm huyện Ia H’Drai) đang được đầu tư xây dựng để dần đảm bảo các tiêu chí đô thị loại V. Hệ thống đô thị cơ bản đảm bảo chất lượng, phù hợp với loại đô </w:t>
      </w:r>
      <w:r w:rsidRPr="006A640F">
        <w:rPr>
          <w:rFonts w:eastAsia="Times New Roman" w:cs="Times New Roman"/>
          <w:color w:val="333333"/>
          <w:szCs w:val="28"/>
        </w:rPr>
        <w:lastRenderedPageBreak/>
        <w:t xml:space="preserve">thị và cấp quản lý hành chính đô thị, đến cuối năm 2022, tỷ lệ đô thị hóa đạt </w:t>
      </w:r>
      <w:r w:rsidR="00E33006">
        <w:rPr>
          <w:rFonts w:eastAsia="Times New Roman" w:cs="Times New Roman"/>
          <w:color w:val="333333"/>
          <w:szCs w:val="28"/>
        </w:rPr>
        <w:t>38,26%.</w:t>
      </w:r>
    </w:p>
    <w:p w:rsidR="00113634" w:rsidRDefault="00113634" w:rsidP="00DE0644">
      <w:pPr>
        <w:shd w:val="clear" w:color="auto" w:fill="FFFFFF"/>
        <w:spacing w:before="120" w:after="120" w:line="340" w:lineRule="exact"/>
        <w:ind w:firstLine="567"/>
        <w:jc w:val="both"/>
        <w:rPr>
          <w:rFonts w:eastAsia="Times New Roman" w:cs="Times New Roman"/>
          <w:color w:val="333333"/>
          <w:szCs w:val="28"/>
        </w:rPr>
      </w:pPr>
      <w:r>
        <w:rPr>
          <w:rFonts w:eastAsia="Times New Roman" w:cs="Times New Roman"/>
          <w:color w:val="333333"/>
          <w:szCs w:val="28"/>
        </w:rPr>
        <w:t>T</w:t>
      </w:r>
      <w:r w:rsidR="00EB2BC7" w:rsidRPr="006A640F">
        <w:rPr>
          <w:rFonts w:eastAsia="Times New Roman" w:cs="Times New Roman"/>
          <w:color w:val="333333"/>
          <w:szCs w:val="28"/>
        </w:rPr>
        <w:t>oàn tỉnh hiện có 3 khu công nghiệp và 1 khu kinh tế. Hiện tại, khu công nghiệp sản xuất, chế biến dược liệu tập trung khoảng 200ha đã được tỉnh trình hồ sơ bổ sung vào Quy hoạch phát triển các khu công nghiệp ở Việt Nam. Cũng trong giai đoạn 2021-2023, có 14 cụm công nghiệp được thành lập với tổng diện tích xây dựng khoảng 472 ha; trong đó có 8 cụm công nghiệp đi vào hoạt động với tổng diện tích xây dựng khoảng 275 ha và 6 cụm công nghiệp đã thành lập nhưng chưa đi vào hoạt động. Đến nay, tỉnh thu hút được 61 dự án của 52 doanh nghiệp với tổng vốn đăng ký khoảng 1.323 tỷ đồng đầu tư tại Khu kinh tế cửa khẩu Quốc tế Bờ Y; 43 dự án của 39 doanh nghiệp với tổng vốn đăng ký khoảng 1.415 tỷ đồng tại Khu công nghiệp Hòa Bình và Sao Mai.</w:t>
      </w:r>
    </w:p>
    <w:p w:rsidR="00EB2BC7" w:rsidRPr="00EB2BC7"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Hệ thống giao thông được tập trung đầu tư, nâng cấp, bảo đảm sự kết nối giữa các vùng trong tỉnh và giữa các tỉnh trong khu vực. Hiện nay, tỉnh đang tích cực triển khai một số công trình giao thông quan trọng trong việc kết nối vùng, giao thương kinh tế, văn hóa- xã hội.</w:t>
      </w:r>
      <w:r w:rsidR="00113634">
        <w:rPr>
          <w:rFonts w:eastAsia="Times New Roman" w:cs="Times New Roman"/>
          <w:color w:val="333333"/>
          <w:szCs w:val="28"/>
        </w:rPr>
        <w:t xml:space="preserve"> Hệ</w:t>
      </w:r>
      <w:r w:rsidRPr="006A640F">
        <w:rPr>
          <w:rFonts w:eastAsia="Times New Roman" w:cs="Times New Roman"/>
          <w:color w:val="333333"/>
          <w:szCs w:val="28"/>
        </w:rPr>
        <w:t xml:space="preserve"> thống các công trình thủy lợi trên địa bàn tỉnh được đầu tư, nâng cấp, sửa chữa, xây dựng hoàn thiện. Nhờ đó, diện tích tưới tiêu của các công trình thủy lợi đã tăng từ 21.577ha (năm 2021) lên 22.129ha (năm 2022), góp phần tích cực trong việc thực hiện chiến lược phát triển nông nghiệp và nông thôn bền vững trên địa bàn tỉnh. </w:t>
      </w:r>
    </w:p>
    <w:p w:rsidR="00EB2BC7" w:rsidRDefault="00EB2BC7" w:rsidP="00DE0644">
      <w:pPr>
        <w:shd w:val="clear" w:color="auto" w:fill="FFFFFF"/>
        <w:spacing w:before="120" w:after="120" w:line="340" w:lineRule="exact"/>
        <w:ind w:firstLine="567"/>
        <w:jc w:val="both"/>
        <w:rPr>
          <w:rFonts w:eastAsia="Times New Roman" w:cs="Times New Roman"/>
          <w:b/>
          <w:bCs/>
          <w:color w:val="333333"/>
          <w:szCs w:val="28"/>
        </w:rPr>
      </w:pPr>
      <w:r>
        <w:rPr>
          <w:rFonts w:eastAsia="Times New Roman" w:cs="Times New Roman"/>
          <w:b/>
          <w:bCs/>
          <w:color w:val="333333"/>
          <w:szCs w:val="28"/>
        </w:rPr>
        <w:t>2</w:t>
      </w:r>
      <w:r w:rsidRPr="006A640F">
        <w:rPr>
          <w:rFonts w:eastAsia="Times New Roman" w:cs="Times New Roman"/>
          <w:b/>
          <w:bCs/>
          <w:color w:val="333333"/>
          <w:szCs w:val="28"/>
        </w:rPr>
        <w:t>. Thực hiện Đề án phát triển lâm nghiệp bền vững đến năm 2025, định hướng đến 2030, những năm qua, công tác quản lý, bảo vệ và phát triển rừng trên địa bàn tỉnh có nhiều kết quả tích cực.</w:t>
      </w:r>
    </w:p>
    <w:p w:rsidR="00EB2BC7"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Từ năm 2021 đến nay, toàn tỉnh đã trồng mới được 14.024,24ha rừng, độ che phủ rừng đến hết năm 2022 đạt 63,05%, ước thực hiện đến hết năm 2023 là 63,12%. Diện tích rừng có trồng sâm Ngọc Linh hiện đạt khoảng 1.804ha, dự kiến năm 2023 trồng thêm khoảng 450ha, nâng diện tích rừng có trồng sâm Ngọc Linh lên khoảng 2.254ha. Toàn tỉnh cũng đã thực hiện khoanh nuôi, phục hồi được 5.814,83ha, nuôi dưỡng làm giàu rừng được 333,2ha.</w:t>
      </w:r>
    </w:p>
    <w:p w:rsidR="00EB2BC7"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Bên cạnh đó, trong những năm qua, tỉnh ta thực hiện nghiêm việc đóng cửa rừng tự nhiên, dừng các dự án chuyển đổi rừng tự nhiên sang mục đích khác, không cấp phép khai thác tận dụng trên diện tích rừng tự nhiên đối các dự án đã có quyết định chuyển đổi nhưng chưa khai thác. Nhờ đó, bảo vệ tốt diện tích rừng, đặc biệt là rừng phòng hộ, đặc dụng.</w:t>
      </w:r>
    </w:p>
    <w:p w:rsidR="00F11FEC"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Cụ thể, trong gần 3 năm qua (2021-2023), các lực lượng chức năng và các địa phương đã ngăn chặn và xử lý 319 vụ vi phạm Luật Lâm nghiệp; số vụ vu phạm và bị xử lý giảm giảm 75% so với giai đoạn từ năm 2018-2020. Diện tích rừng tự nhiên bị thiệt hại khoảng 221ha; diện tích rừng phòng hộ, đặc dụng hầu như không bị tác động. Rừng tự nhiên được bảo vệ tốt, giúp tăng khả năng phòng hộ đầu nguồn, bảo vệ môi trường, bảo tồn tính đa dạng sinh học.</w:t>
      </w:r>
    </w:p>
    <w:p w:rsidR="00EB2BC7"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lastRenderedPageBreak/>
        <w:t>Đến năm 2023, toàn tỉnh đã giao được 9.483ha rừng cho cộng đồng, gần 8.028ha rừng do UBND xã quản lý về cho các chủ rừng, nâng diện tích rừng có chủ thật sự lên hơn 552.342ha. Qua đó, góp phần nâng cao hiệu quả bảo vệ rừng và tạo thêm việc làm, thu hút người dân sống gần rừng, đặc biệt là đồng bào DTTS tham gia vào sản xuất lâm nghiệp để cải thiện thu nhập.</w:t>
      </w:r>
    </w:p>
    <w:p w:rsidR="00EB2BC7" w:rsidRPr="00EB2BC7" w:rsidRDefault="00EB2BC7" w:rsidP="00DE0644">
      <w:pPr>
        <w:shd w:val="clear" w:color="auto" w:fill="FFFFFF"/>
        <w:spacing w:before="120" w:after="120" w:line="340" w:lineRule="exact"/>
        <w:ind w:firstLine="567"/>
        <w:jc w:val="both"/>
        <w:rPr>
          <w:rFonts w:eastAsia="Times New Roman" w:cs="Times New Roman"/>
          <w:color w:val="333333"/>
          <w:szCs w:val="28"/>
        </w:rPr>
      </w:pPr>
      <w:r w:rsidRPr="006A640F">
        <w:rPr>
          <w:rFonts w:eastAsia="Times New Roman" w:cs="Times New Roman"/>
          <w:color w:val="333333"/>
          <w:szCs w:val="28"/>
        </w:rPr>
        <w:t>Điều đáng chú ý, trong 3 năm qua, tỉnh ta huy động được nhiều nguồn lực để đầu tư cho phát triển ngành lâm nghiệp với tổng nguồn vốn huy động được 1.547,3 tỷ đồng. Tổng giá trị sản xuất ước đạt 7.508,5 tỷ đồng; trong đó, giá trị trồng rừng ước đạt 948 tỷ đồng; trồng sâm Ngọc Linh 6.560,5 tỷ đồng.</w:t>
      </w:r>
      <w:r>
        <w:rPr>
          <w:rFonts w:eastAsia="Times New Roman" w:cs="Times New Roman"/>
          <w:color w:val="333333"/>
          <w:szCs w:val="28"/>
        </w:rPr>
        <w:t xml:space="preserve"> </w:t>
      </w:r>
      <w:r w:rsidRPr="006A640F">
        <w:rPr>
          <w:rFonts w:eastAsia="Times New Roman" w:cs="Times New Roman"/>
          <w:color w:val="333333"/>
          <w:szCs w:val="28"/>
        </w:rPr>
        <w:t>Công tác thu hút đầu tư trong lĩnh vực lâm nghiệp cũng được chú trọng, đặc biệt là thu hút đầu tư các nhà máy chế biến gỗ rừng trồng, thu hút trồng rừng và sản x</w:t>
      </w:r>
      <w:r w:rsidR="00AC158B">
        <w:rPr>
          <w:rFonts w:eastAsia="Times New Roman" w:cs="Times New Roman"/>
          <w:color w:val="333333"/>
          <w:szCs w:val="28"/>
        </w:rPr>
        <w:t xml:space="preserve">uất lâm sản theo hướng hiện đại. </w:t>
      </w:r>
      <w:r w:rsidRPr="006A640F">
        <w:rPr>
          <w:rFonts w:eastAsia="Times New Roman" w:cs="Times New Roman"/>
          <w:color w:val="333333"/>
          <w:szCs w:val="28"/>
        </w:rPr>
        <w:t>Hiện tại, các cấp, các ngành của tỉnh xúc tiến kêu gọi Công ty Cổ phần An Hòa; Công ty Cổ phần chế biến gỗ Woodland; Công ty Cổ phần Sao Việt (Tuyên Quang), Tổng Công ty giấy Việt Nam đầu tư vào lĩnh vực này. Đồng thời, triển khai xây dựng và phát triển các hình thức liên kết giữa các thành phần kinh tế, kinh tế hợp tác, kinh tế chia sẻ trong lâm nghiệp.</w:t>
      </w:r>
    </w:p>
    <w:p w:rsidR="00DE0644" w:rsidRPr="00023835" w:rsidRDefault="00DE0644" w:rsidP="00DE0644">
      <w:pPr>
        <w:shd w:val="clear" w:color="auto" w:fill="FFFFFF"/>
        <w:spacing w:before="120" w:after="120" w:line="340" w:lineRule="exact"/>
        <w:ind w:firstLine="567"/>
        <w:jc w:val="both"/>
        <w:rPr>
          <w:rFonts w:eastAsia="Times New Roman" w:cs="Times New Roman"/>
          <w:b/>
          <w:bCs/>
          <w:szCs w:val="28"/>
        </w:rPr>
      </w:pPr>
      <w:r w:rsidRPr="00023835">
        <w:rPr>
          <w:rFonts w:eastAsia="Times New Roman" w:cs="Times New Roman"/>
          <w:b/>
          <w:bCs/>
          <w:szCs w:val="28"/>
        </w:rPr>
        <w:t>C. VĂN BẢN MỚI</w:t>
      </w:r>
    </w:p>
    <w:p w:rsidR="00DE0644" w:rsidRPr="00AC158B" w:rsidRDefault="00DE0644" w:rsidP="00DE0644">
      <w:pPr>
        <w:shd w:val="clear" w:color="auto" w:fill="FFFFFF"/>
        <w:tabs>
          <w:tab w:val="left" w:pos="4678"/>
        </w:tabs>
        <w:spacing w:before="120" w:after="120" w:line="340" w:lineRule="exact"/>
        <w:ind w:firstLine="567"/>
        <w:jc w:val="both"/>
        <w:rPr>
          <w:rFonts w:eastAsia="Times New Roman" w:cs="Times New Roman"/>
          <w:color w:val="333333"/>
          <w:szCs w:val="28"/>
        </w:rPr>
      </w:pPr>
      <w:r w:rsidRPr="00023835">
        <w:rPr>
          <w:rFonts w:eastAsia="Times New Roman" w:cs="Times New Roman"/>
          <w:b/>
          <w:szCs w:val="28"/>
        </w:rPr>
        <w:t xml:space="preserve">I. VĂN BẢN CỦA TRUNG ƯƠNG:  </w:t>
      </w:r>
      <w:r w:rsidR="00AC158B" w:rsidRPr="00AC158B">
        <w:rPr>
          <w:rFonts w:eastAsia="Times New Roman" w:cs="Times New Roman"/>
          <w:b/>
          <w:color w:val="333333"/>
          <w:szCs w:val="28"/>
        </w:rPr>
        <w:t xml:space="preserve">1. </w:t>
      </w:r>
      <w:r w:rsidR="00AC158B" w:rsidRPr="006A640F">
        <w:rPr>
          <w:rFonts w:eastAsia="Times New Roman" w:cs="Times New Roman"/>
          <w:color w:val="333333"/>
          <w:szCs w:val="28"/>
        </w:rPr>
        <w:t>Kết luận số 62-KL/TW, ngày 02-10-2023 của Bộ Chính trị về thực hiện Nghị quyết số 19-NQ/TW, ngày 25-10-2017 của Ban Chấp hành Trung ương Đảng khoá XII về tiếp tục đổi mới hệ thống tổ chức và quản lý, nâng cao chất lượng và hiệu quả hoạt động của</w:t>
      </w:r>
      <w:r w:rsidR="00AC158B">
        <w:rPr>
          <w:rFonts w:eastAsia="Times New Roman" w:cs="Times New Roman"/>
          <w:color w:val="333333"/>
          <w:szCs w:val="28"/>
        </w:rPr>
        <w:t xml:space="preserve"> các đơn vị sự nghiệp công lập; </w:t>
      </w:r>
      <w:r w:rsidR="00AC158B" w:rsidRPr="00AC158B">
        <w:rPr>
          <w:rFonts w:eastAsia="Times New Roman" w:cs="Times New Roman"/>
          <w:b/>
          <w:color w:val="333333"/>
          <w:szCs w:val="28"/>
        </w:rPr>
        <w:t>2.</w:t>
      </w:r>
      <w:r w:rsidR="00AC158B" w:rsidRPr="006A640F">
        <w:rPr>
          <w:rFonts w:eastAsia="Times New Roman" w:cs="Times New Roman"/>
          <w:color w:val="333333"/>
          <w:szCs w:val="28"/>
        </w:rPr>
        <w:t xml:space="preserve"> Quy định số 124-QĐ/TW, ngày 04-10-2023 của Bộ Chính trị về việc kiểm điểm và đánh giá, xếp loại chất lượng hằng năm đối với tập thể, c</w:t>
      </w:r>
      <w:r w:rsidR="00AC158B">
        <w:rPr>
          <w:rFonts w:eastAsia="Times New Roman" w:cs="Times New Roman"/>
          <w:color w:val="333333"/>
          <w:szCs w:val="28"/>
        </w:rPr>
        <w:t xml:space="preserve">á nhân trong hệ thống chính trị; </w:t>
      </w:r>
      <w:r w:rsidR="00AC158B" w:rsidRPr="00AC158B">
        <w:rPr>
          <w:rFonts w:eastAsia="Times New Roman" w:cs="Times New Roman"/>
          <w:b/>
          <w:iCs/>
          <w:color w:val="333333"/>
          <w:szCs w:val="28"/>
        </w:rPr>
        <w:t>3.</w:t>
      </w:r>
      <w:r w:rsidR="00AC158B">
        <w:rPr>
          <w:rFonts w:eastAsia="Times New Roman" w:cs="Times New Roman"/>
          <w:color w:val="333333"/>
          <w:szCs w:val="28"/>
        </w:rPr>
        <w:t xml:space="preserve"> </w:t>
      </w:r>
      <w:r w:rsidR="00AC158B" w:rsidRPr="006A640F">
        <w:rPr>
          <w:rFonts w:eastAsia="Times New Roman" w:cs="Times New Roman"/>
          <w:color w:val="333333"/>
          <w:szCs w:val="28"/>
        </w:rPr>
        <w:t>Nghị quyết số 41-NQ/TW, ngày 10-10-2023 của Bộ Chính trị về xây dựng và phát huy vai trò của đội ngũ doanh nhân Việt Nam trong thời kỳ mới. </w:t>
      </w:r>
    </w:p>
    <w:p w:rsidR="00DE0644" w:rsidRPr="00AC158B" w:rsidRDefault="00DE0644" w:rsidP="00DE0644">
      <w:pPr>
        <w:shd w:val="clear" w:color="auto" w:fill="FFFFFF"/>
        <w:tabs>
          <w:tab w:val="left" w:pos="4678"/>
        </w:tabs>
        <w:spacing w:before="120" w:after="120" w:line="340" w:lineRule="exact"/>
        <w:ind w:firstLine="567"/>
        <w:jc w:val="both"/>
        <w:rPr>
          <w:rFonts w:eastAsia="Times New Roman" w:cs="Times New Roman"/>
          <w:i/>
          <w:iCs/>
          <w:color w:val="333333"/>
          <w:szCs w:val="28"/>
        </w:rPr>
      </w:pPr>
      <w:r w:rsidRPr="00023835">
        <w:rPr>
          <w:rFonts w:eastAsia="Times New Roman" w:cs="Times New Roman"/>
          <w:b/>
          <w:iCs/>
          <w:szCs w:val="28"/>
        </w:rPr>
        <w:t>II. VĂN BẢN CỦA TỈNH:</w:t>
      </w:r>
      <w:r w:rsidRPr="00023835">
        <w:rPr>
          <w:rFonts w:eastAsia="Times New Roman" w:cs="Times New Roman"/>
          <w:i/>
          <w:iCs/>
          <w:szCs w:val="28"/>
        </w:rPr>
        <w:t> </w:t>
      </w:r>
      <w:r w:rsidR="00AC158B" w:rsidRPr="00AC158B">
        <w:rPr>
          <w:rFonts w:eastAsia="Times New Roman" w:cs="Times New Roman"/>
          <w:b/>
          <w:bCs/>
          <w:szCs w:val="28"/>
        </w:rPr>
        <w:t>1.</w:t>
      </w:r>
      <w:r w:rsidR="00AC158B" w:rsidRPr="006A640F">
        <w:rPr>
          <w:rFonts w:eastAsia="Times New Roman" w:cs="Times New Roman"/>
          <w:color w:val="333333"/>
          <w:szCs w:val="28"/>
        </w:rPr>
        <w:t xml:space="preserve"> Quyết định số 1017-QĐ/TU, ngày 25-9-2023 của Ban Thường vụ Tỉnh ủy về Quy chế tiếp dân, đối thoại trực tiếp với dân và chỉ đạo xử lý những phản ánh, kiến nghị của dân của đồng</w:t>
      </w:r>
      <w:r w:rsidR="00AC158B">
        <w:rPr>
          <w:rFonts w:eastAsia="Times New Roman" w:cs="Times New Roman"/>
          <w:color w:val="333333"/>
          <w:szCs w:val="28"/>
        </w:rPr>
        <w:t xml:space="preserve"> chí Bí thư Tỉnh ủy;</w:t>
      </w:r>
      <w:r w:rsidR="00AC158B" w:rsidRPr="006A640F">
        <w:rPr>
          <w:rFonts w:eastAsia="Times New Roman" w:cs="Times New Roman"/>
          <w:color w:val="333333"/>
          <w:szCs w:val="28"/>
        </w:rPr>
        <w:t> </w:t>
      </w:r>
      <w:r w:rsidR="00AC158B" w:rsidRPr="00AC158B">
        <w:rPr>
          <w:rFonts w:eastAsia="Times New Roman" w:cs="Times New Roman"/>
          <w:b/>
          <w:iCs/>
          <w:color w:val="333333"/>
          <w:szCs w:val="28"/>
        </w:rPr>
        <w:t>2</w:t>
      </w:r>
      <w:r w:rsidR="00AC158B">
        <w:rPr>
          <w:rFonts w:eastAsia="Times New Roman" w:cs="Times New Roman"/>
          <w:b/>
          <w:color w:val="333333"/>
          <w:szCs w:val="28"/>
        </w:rPr>
        <w:t xml:space="preserve">. </w:t>
      </w:r>
      <w:r w:rsidR="00AC158B" w:rsidRPr="006A640F">
        <w:rPr>
          <w:rFonts w:eastAsia="Times New Roman" w:cs="Times New Roman"/>
          <w:color w:val="333333"/>
          <w:szCs w:val="28"/>
        </w:rPr>
        <w:t>Nghị quyết số 22-NQ/TU, ngày 29-9-2023 của Tỉnh uỷ về Nghị quyết Hội nghị lần thứ 13 Ban Chấp hành Đảng bộ tỉnh khóa XVI lãnh đạo thực hiện nhiệm vụ kinh tế-xã hội, quốc phòng, an ninh, xây dựng Đảng và hệ thống ch</w:t>
      </w:r>
      <w:r w:rsidR="00AC158B">
        <w:rPr>
          <w:rFonts w:eastAsia="Times New Roman" w:cs="Times New Roman"/>
          <w:color w:val="333333"/>
          <w:szCs w:val="28"/>
        </w:rPr>
        <w:t>ính trị các tháng cuối năm 2023;</w:t>
      </w:r>
      <w:r w:rsidR="00AC158B" w:rsidRPr="006A640F">
        <w:rPr>
          <w:rFonts w:eastAsia="Times New Roman" w:cs="Times New Roman"/>
          <w:color w:val="333333"/>
          <w:szCs w:val="28"/>
        </w:rPr>
        <w:t xml:space="preserve">  </w:t>
      </w:r>
      <w:r w:rsidR="00AC158B" w:rsidRPr="00AC158B">
        <w:rPr>
          <w:rFonts w:eastAsia="Times New Roman" w:cs="Times New Roman"/>
          <w:b/>
          <w:color w:val="333333"/>
          <w:szCs w:val="28"/>
        </w:rPr>
        <w:t>3.</w:t>
      </w:r>
      <w:r w:rsidR="00AC158B" w:rsidRPr="006A640F">
        <w:rPr>
          <w:rFonts w:eastAsia="Times New Roman" w:cs="Times New Roman"/>
          <w:color w:val="333333"/>
          <w:szCs w:val="28"/>
        </w:rPr>
        <w:t xml:space="preserve"> Kết luận số 1298-KL/TU, ngày 29-9-2023 của Ban Chấp hành Đảng bộ tỉnh về điều chỉnh, bổ sung một số nội dung của dự thảo Quy hoạch tỉnh Kon Tum thời kỳ 2021-2030, tầm nhìn đ</w:t>
      </w:r>
      <w:r w:rsidR="00AC158B">
        <w:rPr>
          <w:rFonts w:eastAsia="Times New Roman" w:cs="Times New Roman"/>
          <w:color w:val="333333"/>
          <w:szCs w:val="28"/>
        </w:rPr>
        <w:t>ến năm 2050;</w:t>
      </w:r>
      <w:r w:rsidR="00AC158B" w:rsidRPr="00AC158B">
        <w:rPr>
          <w:rFonts w:eastAsia="Times New Roman" w:cs="Times New Roman"/>
          <w:b/>
          <w:color w:val="333333"/>
          <w:szCs w:val="28"/>
        </w:rPr>
        <w:t xml:space="preserve"> 4. </w:t>
      </w:r>
      <w:r w:rsidR="00AC158B" w:rsidRPr="006A640F">
        <w:rPr>
          <w:rFonts w:eastAsia="Times New Roman" w:cs="Times New Roman"/>
          <w:color w:val="333333"/>
          <w:szCs w:val="28"/>
        </w:rPr>
        <w:t>Thông báo số 850-TB/TU, ngày 02-10-2023 của Ban Thường vụ Tỉnh uỷ về kết quả Hội nghị lần thứ 13 Ban C</w:t>
      </w:r>
      <w:r w:rsidR="00AC158B">
        <w:rPr>
          <w:rFonts w:eastAsia="Times New Roman" w:cs="Times New Roman"/>
          <w:color w:val="333333"/>
          <w:szCs w:val="28"/>
        </w:rPr>
        <w:t xml:space="preserve">hấp hành Đảng bộ tỉnh khoá XVI; </w:t>
      </w:r>
      <w:r w:rsidR="00AC158B" w:rsidRPr="00AC158B">
        <w:rPr>
          <w:rFonts w:eastAsia="Times New Roman" w:cs="Times New Roman"/>
          <w:b/>
          <w:color w:val="333333"/>
          <w:szCs w:val="28"/>
        </w:rPr>
        <w:t>5.</w:t>
      </w:r>
      <w:r w:rsidR="00AC158B">
        <w:rPr>
          <w:rFonts w:eastAsia="Times New Roman" w:cs="Times New Roman"/>
          <w:color w:val="333333"/>
          <w:szCs w:val="28"/>
        </w:rPr>
        <w:t xml:space="preserve"> </w:t>
      </w:r>
      <w:r w:rsidR="00AC158B" w:rsidRPr="006A640F">
        <w:rPr>
          <w:rFonts w:eastAsia="Times New Roman" w:cs="Times New Roman"/>
          <w:color w:val="333333"/>
          <w:szCs w:val="28"/>
        </w:rPr>
        <w:t>Công văn số 1074-CV/TU, ngày 16-10-2023 của Ban Thường vụ Tỉnh uỷ </w:t>
      </w:r>
      <w:r w:rsidR="00AC158B" w:rsidRPr="006A640F">
        <w:rPr>
          <w:rFonts w:eastAsia="Times New Roman" w:cs="Times New Roman"/>
          <w:i/>
          <w:iCs/>
          <w:color w:val="333333"/>
          <w:szCs w:val="28"/>
        </w:rPr>
        <w:t>“về</w:t>
      </w:r>
      <w:r w:rsidR="00AC158B" w:rsidRPr="006A640F">
        <w:rPr>
          <w:rFonts w:eastAsia="Times New Roman" w:cs="Times New Roman"/>
          <w:color w:val="333333"/>
          <w:szCs w:val="28"/>
        </w:rPr>
        <w:t> </w:t>
      </w:r>
      <w:r w:rsidR="00AC158B" w:rsidRPr="006A640F">
        <w:rPr>
          <w:rFonts w:eastAsia="Times New Roman" w:cs="Times New Roman"/>
          <w:i/>
          <w:iCs/>
          <w:color w:val="333333"/>
          <w:szCs w:val="28"/>
        </w:rPr>
        <w:t>tiếp tục thực hiện Nghị quyết số 33-NQ/TW, ngày 09-6-2014 về xây dựng văn hóa và con người Việt Nam”</w:t>
      </w:r>
      <w:r w:rsidR="00AC158B" w:rsidRPr="006A640F">
        <w:rPr>
          <w:rFonts w:eastAsia="Times New Roman" w:cs="Times New Roman"/>
          <w:color w:val="333333"/>
          <w:szCs w:val="28"/>
        </w:rPr>
        <w:t>.</w:t>
      </w:r>
      <w:r w:rsidR="00AC158B" w:rsidRPr="006A640F">
        <w:rPr>
          <w:rFonts w:eastAsia="Times New Roman" w:cs="Times New Roman"/>
          <w:i/>
          <w:iCs/>
          <w:color w:val="333333"/>
          <w:szCs w:val="28"/>
        </w:rPr>
        <w:t> </w:t>
      </w:r>
    </w:p>
    <w:p w:rsidR="00DE0644" w:rsidRPr="00023835" w:rsidRDefault="00DE0644" w:rsidP="00DE0644">
      <w:pPr>
        <w:shd w:val="clear" w:color="auto" w:fill="FFFFFF"/>
        <w:spacing w:before="120" w:after="120" w:line="340" w:lineRule="exact"/>
        <w:ind w:firstLine="567"/>
        <w:jc w:val="both"/>
        <w:rPr>
          <w:rFonts w:eastAsia="Times New Roman" w:cs="Times New Roman"/>
          <w:szCs w:val="28"/>
        </w:rPr>
      </w:pPr>
      <w:r w:rsidRPr="00023835">
        <w:rPr>
          <w:rFonts w:eastAsia="Times New Roman" w:cs="Times New Roman"/>
          <w:b/>
          <w:bCs/>
          <w:i/>
          <w:szCs w:val="28"/>
        </w:rPr>
        <w:lastRenderedPageBreak/>
        <w:t>(Chi tiết văn bản, các TCCS Đảng có thể xem tại Trang TTĐT Tuyên giáo tỉnh, Cổng thông tin điện tử tỉnh Kon Tum, Báo điện tử Đảng Cộng sản, Báo điện tử Chính phủ…)</w:t>
      </w:r>
    </w:p>
    <w:p w:rsidR="00DE0644" w:rsidRPr="00023835" w:rsidRDefault="00DE0644" w:rsidP="00DE0644">
      <w:pPr>
        <w:spacing w:before="120" w:after="120" w:line="340" w:lineRule="exact"/>
        <w:ind w:firstLine="567"/>
        <w:rPr>
          <w:rFonts w:eastAsia="Times New Roman" w:cs="Times New Roman"/>
          <w:b/>
          <w:iCs/>
          <w:szCs w:val="28"/>
        </w:rPr>
      </w:pPr>
      <w:r w:rsidRPr="00023835">
        <w:rPr>
          <w:rFonts w:eastAsia="Times New Roman" w:cs="Times New Roman"/>
          <w:b/>
          <w:iCs/>
          <w:szCs w:val="28"/>
        </w:rPr>
        <w:t>D. VĂN BẢN HUYỆN ỦY</w:t>
      </w:r>
    </w:p>
    <w:p w:rsidR="00DE0644" w:rsidRPr="00113634" w:rsidRDefault="00113634" w:rsidP="00113634">
      <w:pPr>
        <w:jc w:val="both"/>
        <w:rPr>
          <w:i/>
          <w:szCs w:val="28"/>
        </w:rPr>
      </w:pPr>
      <w:r>
        <w:rPr>
          <w:rFonts w:eastAsia="Times New Roman" w:cs="Times New Roman"/>
          <w:b/>
          <w:iCs/>
          <w:szCs w:val="28"/>
        </w:rPr>
        <w:tab/>
      </w:r>
      <w:r w:rsidR="00DE0644" w:rsidRPr="00113634">
        <w:rPr>
          <w:rFonts w:eastAsia="Times New Roman" w:cs="Times New Roman"/>
          <w:b/>
          <w:iCs/>
          <w:szCs w:val="28"/>
        </w:rPr>
        <w:t>Các cấp ủy, tổ chức đảng tổ chức phổ biến, quán triệt và triển khai thực hiện các chỉ đạo của Ban chấp hành, Ban Thường vụ, Thường trực Huyện ủy tại các văn bản</w:t>
      </w:r>
      <w:r w:rsidR="00DE0644" w:rsidRPr="00113634">
        <w:rPr>
          <w:rFonts w:eastAsia="Times New Roman" w:cs="Times New Roman"/>
          <w:iCs/>
          <w:szCs w:val="28"/>
        </w:rPr>
        <w:t xml:space="preserve">: </w:t>
      </w:r>
      <w:r w:rsidR="00DE0644" w:rsidRPr="00113634">
        <w:rPr>
          <w:rFonts w:eastAsia="Times New Roman" w:cs="Times New Roman"/>
          <w:b/>
          <w:iCs/>
          <w:szCs w:val="28"/>
        </w:rPr>
        <w:t>1.</w:t>
      </w:r>
      <w:r w:rsidR="00DE0644" w:rsidRPr="00113634">
        <w:rPr>
          <w:rFonts w:eastAsia="Times New Roman" w:cs="Times New Roman"/>
          <w:iCs/>
          <w:szCs w:val="28"/>
        </w:rPr>
        <w:t xml:space="preserve"> </w:t>
      </w:r>
      <w:r w:rsidRPr="00113634">
        <w:rPr>
          <w:rFonts w:eastAsia="Times New Roman" w:cs="Times New Roman"/>
          <w:iCs/>
          <w:szCs w:val="28"/>
        </w:rPr>
        <w:t>Kế hoạch số 131</w:t>
      </w:r>
      <w:r w:rsidR="00DE0644" w:rsidRPr="00113634">
        <w:rPr>
          <w:rFonts w:eastAsia="Times New Roman" w:cs="Times New Roman"/>
          <w:iCs/>
          <w:szCs w:val="28"/>
        </w:rPr>
        <w:t xml:space="preserve">-KH/HU, ngày </w:t>
      </w:r>
      <w:r w:rsidRPr="00113634">
        <w:rPr>
          <w:rFonts w:eastAsia="Times New Roman" w:cs="Times New Roman"/>
          <w:iCs/>
          <w:szCs w:val="28"/>
        </w:rPr>
        <w:t xml:space="preserve">13-10-2023 </w:t>
      </w:r>
      <w:r w:rsidRPr="00113634">
        <w:rPr>
          <w:szCs w:val="28"/>
        </w:rPr>
        <w:t xml:space="preserve">thực hiện Kết luận số 56-KL/TW, ngày 23-5-2023 của Bộ Chính trị về định hướng chiến lược đối với hợp tác tiểu vùng Mê Công đến năm 2023; </w:t>
      </w:r>
      <w:r w:rsidRPr="00113634">
        <w:rPr>
          <w:b/>
          <w:szCs w:val="28"/>
        </w:rPr>
        <w:t>2.</w:t>
      </w:r>
      <w:r w:rsidRPr="00113634">
        <w:rPr>
          <w:szCs w:val="28"/>
        </w:rPr>
        <w:t xml:space="preserve"> Kế hoạch số 130-KH/HU, ngày 11-10-2023 thực hiện Chỉ thị số 19-CT/TU, ngày 18-9-2023 của Ban Thường vụ Tỉnh uỷ “về tăng cường sự lãnh đạo của Đảng đối với công tác phòng, chống và kiểm soát ma tuý trên địa bàn tỉnh”; </w:t>
      </w:r>
      <w:r w:rsidRPr="00113634">
        <w:rPr>
          <w:b/>
          <w:szCs w:val="28"/>
        </w:rPr>
        <w:t>3.</w:t>
      </w:r>
      <w:r w:rsidRPr="00113634">
        <w:rPr>
          <w:szCs w:val="28"/>
        </w:rPr>
        <w:t xml:space="preserve"> Công văn số 1861-CV/HU, ngày 26-10-2023 V/v triển khai thực hiện Quy định số 116-QĐ/TWvề chỉ đạo, định hướng và cung cấp thông tin, tuyên truyền phòng, chống tham nhũng, tiêu cực; </w:t>
      </w:r>
      <w:r w:rsidRPr="00113634">
        <w:rPr>
          <w:b/>
          <w:szCs w:val="28"/>
        </w:rPr>
        <w:t>4.</w:t>
      </w:r>
      <w:r w:rsidRPr="00113634">
        <w:rPr>
          <w:szCs w:val="28"/>
        </w:rPr>
        <w:t xml:space="preserve"> Công văn số 1859-CV/HU, ngày 25-10-2023 </w:t>
      </w:r>
      <w:r w:rsidRPr="00113634">
        <w:rPr>
          <w:iCs/>
          <w:szCs w:val="28"/>
        </w:rPr>
        <w:t>“V/v tăng cường công tác đảm bảo an ninh phòng, chống nạn  trộm cắp trên địa bàn huyện”;</w:t>
      </w:r>
      <w:r w:rsidRPr="00113634">
        <w:rPr>
          <w:b/>
          <w:iCs/>
          <w:szCs w:val="28"/>
        </w:rPr>
        <w:t xml:space="preserve"> 5. </w:t>
      </w:r>
      <w:r w:rsidRPr="00113634">
        <w:rPr>
          <w:iCs/>
          <w:szCs w:val="28"/>
        </w:rPr>
        <w:t xml:space="preserve">Công văn số 1854-CV/HU, ngày 24-10-2023 </w:t>
      </w:r>
      <w:r w:rsidRPr="00113634">
        <w:rPr>
          <w:color w:val="000000"/>
          <w:szCs w:val="28"/>
        </w:rPr>
        <w:t xml:space="preserve">V/v phổ biến, tuyên truyền bài viết của các đồng chí lãnh đạo tỉnh; </w:t>
      </w:r>
      <w:r w:rsidRPr="00113634">
        <w:rPr>
          <w:b/>
          <w:color w:val="000000"/>
          <w:szCs w:val="28"/>
        </w:rPr>
        <w:t xml:space="preserve">6. </w:t>
      </w:r>
      <w:r w:rsidRPr="00113634">
        <w:rPr>
          <w:color w:val="000000"/>
          <w:szCs w:val="28"/>
        </w:rPr>
        <w:t xml:space="preserve">Công văn số 184-CV/HU, ngày 10-10-2023 </w:t>
      </w:r>
      <w:r w:rsidRPr="00113634">
        <w:rPr>
          <w:rFonts w:eastAsia="Times New Roman" w:cs="Times New Roman"/>
          <w:color w:val="000000" w:themeColor="text1"/>
          <w:szCs w:val="28"/>
          <w:lang w:val="nl-NL"/>
        </w:rPr>
        <w:t>V/v triển khai thực hiện Kết luận</w:t>
      </w:r>
      <w:r w:rsidRPr="00113634">
        <w:rPr>
          <w:rFonts w:cs="Times New Roman"/>
          <w:color w:val="111111"/>
          <w:szCs w:val="28"/>
        </w:rPr>
        <w:t xml:space="preserve"> số 48-KL/TW ngày 30-01-2023 của Bộ Chính trị về tiếp tục thực hiện sắp xếp đơn vị hành chính cấp huyện, cấp xã giai đoạn 20</w:t>
      </w:r>
      <w:bookmarkStart w:id="0" w:name="_GoBack"/>
      <w:bookmarkEnd w:id="0"/>
      <w:r w:rsidRPr="00113634">
        <w:rPr>
          <w:rFonts w:cs="Times New Roman"/>
          <w:color w:val="111111"/>
          <w:szCs w:val="28"/>
        </w:rPr>
        <w:t>23</w:t>
      </w:r>
      <w:r w:rsidRPr="00113634">
        <w:rPr>
          <w:rFonts w:cs="Times New Roman"/>
          <w:color w:val="111111"/>
          <w:szCs w:val="28"/>
          <w:lang w:val="nl-NL"/>
        </w:rPr>
        <w:t>-</w:t>
      </w:r>
      <w:r w:rsidRPr="00113634">
        <w:rPr>
          <w:rFonts w:cs="Times New Roman"/>
          <w:color w:val="111111"/>
          <w:szCs w:val="28"/>
        </w:rPr>
        <w:t>2030</w:t>
      </w:r>
      <w:r>
        <w:rPr>
          <w:rFonts w:eastAsia="Times New Roman" w:cs="Times New Roman"/>
          <w:color w:val="000000" w:themeColor="text1"/>
          <w:szCs w:val="28"/>
          <w:lang w:val="nl-NL"/>
        </w:rPr>
        <w:t xml:space="preserve"> .</w:t>
      </w:r>
    </w:p>
    <w:p w:rsidR="00DE0644" w:rsidRPr="00023835" w:rsidRDefault="00DE0644" w:rsidP="00DE0644">
      <w:pPr>
        <w:ind w:right="-290"/>
        <w:jc w:val="both"/>
        <w:rPr>
          <w:rFonts w:cs="Times New Roman"/>
          <w:i/>
          <w:szCs w:val="28"/>
          <w:lang w:eastAsia="vi-VN"/>
        </w:rPr>
      </w:pPr>
      <w:r w:rsidRPr="00023835">
        <w:rPr>
          <w:rFonts w:cs="Times New Roman"/>
          <w:noProof/>
        </w:rPr>
        <mc:AlternateContent>
          <mc:Choice Requires="wps">
            <w:drawing>
              <wp:anchor distT="0" distB="0" distL="114300" distR="114300" simplePos="0" relativeHeight="251659264" behindDoc="0" locked="0" layoutInCell="1" allowOverlap="1" wp14:anchorId="392C7D71" wp14:editId="7AD52D64">
                <wp:simplePos x="0" y="0"/>
                <wp:positionH relativeFrom="column">
                  <wp:posOffset>1876425</wp:posOffset>
                </wp:positionH>
                <wp:positionV relativeFrom="paragraph">
                  <wp:posOffset>30480</wp:posOffset>
                </wp:positionV>
                <wp:extent cx="281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4pt" to="36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" strokecolor="#4a7ebb"/>
            </w:pict>
          </mc:Fallback>
        </mc:AlternateContent>
      </w:r>
    </w:p>
    <w:p w:rsidR="00DE0644" w:rsidRPr="00023835" w:rsidRDefault="00DE0644" w:rsidP="00DE0644">
      <w:pPr>
        <w:shd w:val="clear" w:color="auto" w:fill="FFFFFF"/>
        <w:spacing w:after="0" w:line="234" w:lineRule="atLeast"/>
        <w:jc w:val="both"/>
        <w:rPr>
          <w:rFonts w:eastAsia="Times New Roman" w:cs="Times New Roman"/>
          <w:szCs w:val="28"/>
        </w:rPr>
      </w:pPr>
      <w:r w:rsidRPr="00023835">
        <w:rPr>
          <w:rFonts w:eastAsia="Times New Roman" w:cs="Times New Roman"/>
          <w:szCs w:val="28"/>
        </w:rPr>
        <w:br/>
      </w:r>
    </w:p>
    <w:p w:rsidR="00DE0644" w:rsidRPr="00023835" w:rsidRDefault="00DE0644" w:rsidP="00DE0644">
      <w:pPr>
        <w:rPr>
          <w:rFonts w:cs="Times New Roman"/>
        </w:rPr>
      </w:pPr>
    </w:p>
    <w:p w:rsidR="00DE0644" w:rsidRPr="00023835" w:rsidRDefault="00DE0644" w:rsidP="00DE0644"/>
    <w:p w:rsidR="00DE0644" w:rsidRPr="00023835" w:rsidRDefault="00DE0644" w:rsidP="00DE0644"/>
    <w:p w:rsidR="003719C8" w:rsidRDefault="003719C8"/>
    <w:sectPr w:rsidR="003719C8" w:rsidSect="00040648">
      <w:headerReference w:type="default" r:id="rId7"/>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1E" w:rsidRDefault="00B5331E" w:rsidP="00DE0644">
      <w:pPr>
        <w:spacing w:after="0" w:line="240" w:lineRule="auto"/>
      </w:pPr>
      <w:r>
        <w:separator/>
      </w:r>
    </w:p>
  </w:endnote>
  <w:endnote w:type="continuationSeparator" w:id="0">
    <w:p w:rsidR="00B5331E" w:rsidRDefault="00B5331E" w:rsidP="00D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1E" w:rsidRDefault="00B5331E" w:rsidP="00DE0644">
      <w:pPr>
        <w:spacing w:after="0" w:line="240" w:lineRule="auto"/>
      </w:pPr>
      <w:r>
        <w:separator/>
      </w:r>
    </w:p>
  </w:footnote>
  <w:footnote w:type="continuationSeparator" w:id="0">
    <w:p w:rsidR="00B5331E" w:rsidRDefault="00B5331E" w:rsidP="00DE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8878"/>
      <w:docPartObj>
        <w:docPartGallery w:val="Page Numbers (Top of Page)"/>
        <w:docPartUnique/>
      </w:docPartObj>
    </w:sdtPr>
    <w:sdtEndPr>
      <w:rPr>
        <w:noProof/>
      </w:rPr>
    </w:sdtEndPr>
    <w:sdtContent>
      <w:p w:rsidR="0007204A" w:rsidRDefault="00B5331E">
        <w:pPr>
          <w:pStyle w:val="Header"/>
          <w:jc w:val="center"/>
        </w:pPr>
        <w:r>
          <w:fldChar w:fldCharType="begin"/>
        </w:r>
        <w:r>
          <w:instrText xml:space="preserve"> PAGE   \* MERGEFORMAT </w:instrText>
        </w:r>
        <w:r>
          <w:fldChar w:fldCharType="separate"/>
        </w:r>
        <w:r w:rsidR="00040648">
          <w:rPr>
            <w:noProof/>
          </w:rPr>
          <w:t>4</w:t>
        </w:r>
        <w:r>
          <w:rPr>
            <w:noProof/>
          </w:rPr>
          <w:fldChar w:fldCharType="end"/>
        </w:r>
      </w:p>
    </w:sdtContent>
  </w:sdt>
  <w:p w:rsidR="0007204A" w:rsidRDefault="00040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4"/>
    <w:rsid w:val="00040648"/>
    <w:rsid w:val="00113634"/>
    <w:rsid w:val="00165966"/>
    <w:rsid w:val="00283A11"/>
    <w:rsid w:val="003719C8"/>
    <w:rsid w:val="005C663E"/>
    <w:rsid w:val="00877F01"/>
    <w:rsid w:val="00AC158B"/>
    <w:rsid w:val="00B5331E"/>
    <w:rsid w:val="00DE0644"/>
    <w:rsid w:val="00DE215A"/>
    <w:rsid w:val="00E33006"/>
    <w:rsid w:val="00EB2BC7"/>
    <w:rsid w:val="00F1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44"/>
  </w:style>
  <w:style w:type="paragraph" w:styleId="FootnoteText">
    <w:name w:val="footnote text"/>
    <w:basedOn w:val="Normal"/>
    <w:link w:val="FootnoteTextChar"/>
    <w:uiPriority w:val="99"/>
    <w:semiHidden/>
    <w:unhideWhenUsed/>
    <w:rsid w:val="00DE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44"/>
    <w:rPr>
      <w:sz w:val="20"/>
      <w:szCs w:val="20"/>
    </w:rPr>
  </w:style>
  <w:style w:type="character" w:styleId="FootnoteReference">
    <w:name w:val="footnote reference"/>
    <w:basedOn w:val="DefaultParagraphFont"/>
    <w:uiPriority w:val="99"/>
    <w:semiHidden/>
    <w:unhideWhenUsed/>
    <w:rsid w:val="00DE0644"/>
    <w:rPr>
      <w:vertAlign w:val="superscript"/>
    </w:rPr>
  </w:style>
  <w:style w:type="paragraph" w:styleId="ListParagraph">
    <w:name w:val="List Paragraph"/>
    <w:basedOn w:val="Normal"/>
    <w:uiPriority w:val="34"/>
    <w:qFormat/>
    <w:rsid w:val="00DE0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44"/>
  </w:style>
  <w:style w:type="paragraph" w:styleId="FootnoteText">
    <w:name w:val="footnote text"/>
    <w:basedOn w:val="Normal"/>
    <w:link w:val="FootnoteTextChar"/>
    <w:uiPriority w:val="99"/>
    <w:semiHidden/>
    <w:unhideWhenUsed/>
    <w:rsid w:val="00DE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44"/>
    <w:rPr>
      <w:sz w:val="20"/>
      <w:szCs w:val="20"/>
    </w:rPr>
  </w:style>
  <w:style w:type="character" w:styleId="FootnoteReference">
    <w:name w:val="footnote reference"/>
    <w:basedOn w:val="DefaultParagraphFont"/>
    <w:uiPriority w:val="99"/>
    <w:semiHidden/>
    <w:unhideWhenUsed/>
    <w:rsid w:val="00DE0644"/>
    <w:rPr>
      <w:vertAlign w:val="superscript"/>
    </w:rPr>
  </w:style>
  <w:style w:type="paragraph" w:styleId="ListParagraph">
    <w:name w:val="List Paragraph"/>
    <w:basedOn w:val="Normal"/>
    <w:uiPriority w:val="34"/>
    <w:qFormat/>
    <w:rsid w:val="00DE0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9019">
      <w:bodyDiv w:val="1"/>
      <w:marLeft w:val="0"/>
      <w:marRight w:val="0"/>
      <w:marTop w:val="0"/>
      <w:marBottom w:val="0"/>
      <w:divBdr>
        <w:top w:val="none" w:sz="0" w:space="0" w:color="auto"/>
        <w:left w:val="none" w:sz="0" w:space="0" w:color="auto"/>
        <w:bottom w:val="none" w:sz="0" w:space="0" w:color="auto"/>
        <w:right w:val="none" w:sz="0" w:space="0" w:color="auto"/>
      </w:divBdr>
    </w:div>
    <w:div w:id="897667485">
      <w:bodyDiv w:val="1"/>
      <w:marLeft w:val="0"/>
      <w:marRight w:val="0"/>
      <w:marTop w:val="0"/>
      <w:marBottom w:val="0"/>
      <w:divBdr>
        <w:top w:val="none" w:sz="0" w:space="0" w:color="auto"/>
        <w:left w:val="none" w:sz="0" w:space="0" w:color="auto"/>
        <w:bottom w:val="none" w:sz="0" w:space="0" w:color="auto"/>
        <w:right w:val="none" w:sz="0" w:space="0" w:color="auto"/>
      </w:divBdr>
    </w:div>
    <w:div w:id="1021397201">
      <w:bodyDiv w:val="1"/>
      <w:marLeft w:val="0"/>
      <w:marRight w:val="0"/>
      <w:marTop w:val="0"/>
      <w:marBottom w:val="0"/>
      <w:divBdr>
        <w:top w:val="none" w:sz="0" w:space="0" w:color="auto"/>
        <w:left w:val="none" w:sz="0" w:space="0" w:color="auto"/>
        <w:bottom w:val="none" w:sz="0" w:space="0" w:color="auto"/>
        <w:right w:val="none" w:sz="0" w:space="0" w:color="auto"/>
      </w:divBdr>
    </w:div>
    <w:div w:id="1302886468">
      <w:bodyDiv w:val="1"/>
      <w:marLeft w:val="0"/>
      <w:marRight w:val="0"/>
      <w:marTop w:val="0"/>
      <w:marBottom w:val="0"/>
      <w:divBdr>
        <w:top w:val="none" w:sz="0" w:space="0" w:color="auto"/>
        <w:left w:val="none" w:sz="0" w:space="0" w:color="auto"/>
        <w:bottom w:val="none" w:sz="0" w:space="0" w:color="auto"/>
        <w:right w:val="none" w:sz="0" w:space="0" w:color="auto"/>
      </w:divBdr>
    </w:div>
    <w:div w:id="1696805180">
      <w:bodyDiv w:val="1"/>
      <w:marLeft w:val="0"/>
      <w:marRight w:val="0"/>
      <w:marTop w:val="0"/>
      <w:marBottom w:val="0"/>
      <w:divBdr>
        <w:top w:val="none" w:sz="0" w:space="0" w:color="auto"/>
        <w:left w:val="none" w:sz="0" w:space="0" w:color="auto"/>
        <w:bottom w:val="none" w:sz="0" w:space="0" w:color="auto"/>
        <w:right w:val="none" w:sz="0" w:space="0" w:color="auto"/>
      </w:divBdr>
    </w:div>
    <w:div w:id="17496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dcterms:created xsi:type="dcterms:W3CDTF">2023-10-26T07:56:00Z</dcterms:created>
  <dcterms:modified xsi:type="dcterms:W3CDTF">2023-10-27T01:30:00Z</dcterms:modified>
</cp:coreProperties>
</file>