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9D" w:rsidRPr="001D4E9D" w:rsidRDefault="001D4E9D" w:rsidP="001D4E9D">
      <w:pPr>
        <w:spacing w:after="0" w:line="240" w:lineRule="auto"/>
        <w:ind w:firstLine="567"/>
        <w:jc w:val="center"/>
        <w:rPr>
          <w:rFonts w:eastAsia="Calibri" w:cs="Times New Roman"/>
          <w:b/>
          <w:szCs w:val="28"/>
        </w:rPr>
      </w:pPr>
      <w:bookmarkStart w:id="0" w:name="_Hlk109508220"/>
      <w:r w:rsidRPr="001D4E9D">
        <w:rPr>
          <w:rFonts w:eastAsia="Calibri" w:cs="Times New Roman"/>
          <w:b/>
          <w:szCs w:val="28"/>
        </w:rPr>
        <w:t>BẢN TIN THÔNG BÁO NỘI BỘ</w:t>
      </w:r>
    </w:p>
    <w:p w:rsidR="001D4E9D" w:rsidRPr="001D4E9D" w:rsidRDefault="001D4E9D" w:rsidP="001D4E9D">
      <w:pPr>
        <w:spacing w:after="0" w:line="240" w:lineRule="auto"/>
        <w:ind w:firstLine="567"/>
        <w:jc w:val="center"/>
        <w:rPr>
          <w:rFonts w:eastAsia="Calibri" w:cs="Times New Roman"/>
          <w:b/>
          <w:szCs w:val="28"/>
        </w:rPr>
      </w:pPr>
      <w:r w:rsidRPr="001D4E9D">
        <w:rPr>
          <w:rFonts w:eastAsia="Calibri" w:cs="Times New Roman"/>
          <w:b/>
          <w:szCs w:val="28"/>
        </w:rPr>
        <w:t>phục vụ SHCB tháng 03-2025 của Ban Tuyên giáo và Dân vận TW</w:t>
      </w:r>
    </w:p>
    <w:p w:rsidR="001D4E9D" w:rsidRPr="001D4E9D" w:rsidRDefault="001D4E9D" w:rsidP="001D4E9D">
      <w:pPr>
        <w:spacing w:after="0" w:line="240" w:lineRule="auto"/>
        <w:ind w:firstLine="567"/>
        <w:jc w:val="center"/>
        <w:rPr>
          <w:rFonts w:eastAsia="Calibri" w:cs="Times New Roman"/>
          <w:b/>
          <w:szCs w:val="28"/>
        </w:rPr>
      </w:pPr>
      <w:r w:rsidRPr="001D4E9D">
        <w:rPr>
          <w:rFonts w:eastAsia="Calibri" w:cs="Times New Roman"/>
          <w:b/>
          <w:szCs w:val="28"/>
        </w:rPr>
        <w:t>phần “</w:t>
      </w:r>
      <w:r w:rsidRPr="001D4E9D">
        <w:rPr>
          <w:rFonts w:eastAsia="Calibri" w:cs="Times New Roman"/>
          <w:b/>
          <w:i/>
          <w:szCs w:val="28"/>
        </w:rPr>
        <w:t>Thời sự thế giới</w:t>
      </w:r>
      <w:r w:rsidRPr="001D4E9D">
        <w:rPr>
          <w:rFonts w:eastAsia="Calibri" w:cs="Times New Roman"/>
          <w:b/>
          <w:szCs w:val="28"/>
        </w:rPr>
        <w:t>” và “</w:t>
      </w:r>
      <w:r w:rsidRPr="001D4E9D">
        <w:rPr>
          <w:rFonts w:eastAsia="Calibri" w:cs="Times New Roman"/>
          <w:b/>
          <w:i/>
          <w:szCs w:val="28"/>
        </w:rPr>
        <w:t>Thời sự trong nước</w:t>
      </w:r>
      <w:r w:rsidRPr="001D4E9D">
        <w:rPr>
          <w:rFonts w:eastAsia="Calibri" w:cs="Times New Roman"/>
          <w:b/>
          <w:szCs w:val="28"/>
        </w:rPr>
        <w:t>”</w:t>
      </w:r>
    </w:p>
    <w:p w:rsidR="001D4E9D" w:rsidRPr="001D4E9D" w:rsidRDefault="001D4E9D" w:rsidP="001D4E9D">
      <w:pPr>
        <w:spacing w:after="0" w:line="240" w:lineRule="auto"/>
        <w:ind w:firstLine="567"/>
        <w:jc w:val="center"/>
        <w:rPr>
          <w:rFonts w:eastAsia="Calibri" w:cs="Times New Roman"/>
          <w:b/>
          <w:szCs w:val="28"/>
        </w:rPr>
      </w:pPr>
      <w:r w:rsidRPr="001D4E9D">
        <w:rPr>
          <w:rFonts w:eastAsia="Calibri" w:cs="Times New Roman"/>
          <w:b/>
          <w:szCs w:val="28"/>
        </w:rPr>
        <w:t>-----</w:t>
      </w:r>
    </w:p>
    <w:p w:rsidR="001D4E9D" w:rsidRPr="001D4E9D" w:rsidRDefault="001D4E9D" w:rsidP="001D4E9D">
      <w:pPr>
        <w:widowControl w:val="0"/>
        <w:spacing w:before="120" w:after="0" w:line="360" w:lineRule="exact"/>
        <w:ind w:firstLine="567"/>
        <w:jc w:val="both"/>
        <w:rPr>
          <w:rFonts w:eastAsia="Times New Roman" w:cs="Times New Roman"/>
          <w:b/>
          <w:color w:val="FF0000"/>
          <w:szCs w:val="28"/>
        </w:rPr>
      </w:pPr>
    </w:p>
    <w:p w:rsidR="001D4E9D" w:rsidRPr="001D4E9D" w:rsidRDefault="001D4E9D" w:rsidP="001D4E9D">
      <w:pPr>
        <w:tabs>
          <w:tab w:val="center" w:pos="4677"/>
        </w:tabs>
        <w:spacing w:before="120" w:after="0" w:line="360" w:lineRule="exact"/>
        <w:ind w:firstLine="567"/>
        <w:jc w:val="both"/>
        <w:rPr>
          <w:rFonts w:eastAsia="Calibri" w:cs="Times New Roman"/>
          <w:b/>
          <w:szCs w:val="28"/>
        </w:rPr>
      </w:pPr>
      <w:r w:rsidRPr="001D4E9D">
        <w:rPr>
          <w:rFonts w:eastAsia="Calibri" w:cs="Times New Roman"/>
          <w:b/>
          <w:szCs w:val="28"/>
        </w:rPr>
        <w:t>I- THÔNG TIN THỜI SỰ THẾ GIỚI</w:t>
      </w:r>
    </w:p>
    <w:p w:rsidR="001D4E9D" w:rsidRPr="001D4E9D" w:rsidRDefault="001D4E9D" w:rsidP="00024020">
      <w:pPr>
        <w:tabs>
          <w:tab w:val="left" w:pos="567"/>
        </w:tabs>
        <w:spacing w:before="120" w:after="0" w:line="360" w:lineRule="exact"/>
        <w:ind w:firstLine="567"/>
        <w:jc w:val="both"/>
        <w:rPr>
          <w:rFonts w:eastAsia="Calibri" w:cs="Times New Roman"/>
          <w:b/>
          <w:szCs w:val="28"/>
        </w:rPr>
      </w:pPr>
      <w:r w:rsidRPr="001D4E9D">
        <w:rPr>
          <w:rFonts w:eastAsia="Calibri" w:cs="Times New Roman"/>
          <w:b/>
          <w:szCs w:val="28"/>
        </w:rPr>
        <w:t xml:space="preserve">1. </w:t>
      </w:r>
      <w:r w:rsidRPr="001D4E9D">
        <w:rPr>
          <w:rFonts w:eastAsia="Times New Roman" w:cs="Times New Roman"/>
          <w:b/>
          <w:bCs/>
          <w:iCs/>
          <w:szCs w:val="28"/>
        </w:rPr>
        <w:t>Một số nét nổi bật về tình hình khu vực, thế giới tron</w:t>
      </w:r>
      <w:bookmarkStart w:id="1" w:name="_GoBack"/>
      <w:bookmarkEnd w:id="1"/>
      <w:r w:rsidRPr="001D4E9D">
        <w:rPr>
          <w:rFonts w:eastAsia="Times New Roman" w:cs="Times New Roman"/>
          <w:b/>
          <w:bCs/>
          <w:iCs/>
          <w:szCs w:val="28"/>
        </w:rPr>
        <w:t>g tháng 01-2025</w:t>
      </w:r>
    </w:p>
    <w:p w:rsidR="001D4E9D" w:rsidRPr="001D4E9D" w:rsidRDefault="001D4E9D" w:rsidP="001D4E9D">
      <w:pPr>
        <w:widowControl w:val="0"/>
        <w:spacing w:before="120" w:after="0" w:line="240" w:lineRule="auto"/>
        <w:ind w:firstLine="567"/>
        <w:jc w:val="both"/>
        <w:rPr>
          <w:rFonts w:eastAsia="Calibri" w:cs="Times New Roman"/>
          <w:bCs/>
          <w:i/>
          <w:iCs/>
          <w:szCs w:val="28"/>
        </w:rPr>
      </w:pPr>
      <w:r w:rsidRPr="001D4E9D">
        <w:rPr>
          <w:rFonts w:eastAsia="Calibri" w:cs="Times New Roman"/>
          <w:bCs/>
          <w:i/>
          <w:iCs/>
          <w:szCs w:val="28"/>
        </w:rPr>
        <w:t>Tháng 01-2025, tình hình thế giới và khu vực xuất hiện một số diễn biến mới, đáng chú ý, tác động đến bối cảnh toàn cầu và quan hệ quốc tế. Trong đó nổi bật là sự điều chỉnh chính sách của các nước lớn; dấu hiệu hòa dịu tại một số điểm nóng và kinh tế thế giới có những dấu hiệu khả quan song phục hồi chậm.</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rPr>
        <w:t>Với việc Tổng thống Mỹ Donal Trump chính thức nhậm chức vào ngày 20/01/2025, Chính phủ Mỹ ban hành một loạt chính sách mới về đối nội và đối ngoại. Trong đó, đáng chú ý là việc áp thuế đ</w:t>
      </w:r>
      <w:r w:rsidRPr="001D4E9D">
        <w:rPr>
          <w:rFonts w:eastAsia="Calibri" w:cs="Times New Roman"/>
          <w:bCs/>
          <w:iCs/>
          <w:szCs w:val="28"/>
          <w:lang w:val="vi-VN"/>
        </w:rPr>
        <w:t>ố</w:t>
      </w:r>
      <w:r w:rsidRPr="001D4E9D">
        <w:rPr>
          <w:rFonts w:eastAsia="Calibri" w:cs="Times New Roman"/>
          <w:bCs/>
          <w:iCs/>
          <w:szCs w:val="28"/>
        </w:rPr>
        <w:t xml:space="preserve">i với Canda, Mexico và Trung Quốc; rút khỏi Hiệp định Paris về Biến đổi khí hậu, Tổ chức Y tế thế giới, tạm dừng viện trợ nước ngoài, áp đặt trừng phạt đối với ICC. Nhằm ứng phó với các điều chỉnh chính sách của Mỹ, các quốc gia cũng đã tăng cường </w:t>
      </w:r>
      <w:r w:rsidRPr="001D4E9D">
        <w:rPr>
          <w:rFonts w:eastAsia="Calibri" w:cs="Times New Roman"/>
          <w:bCs/>
          <w:iCs/>
          <w:szCs w:val="28"/>
          <w:lang w:val="vi-VN"/>
        </w:rPr>
        <w:t xml:space="preserve">điều chỉnh chính sách. Trung Quốc thúc đẩy quan hệ với các nước châu Phi khi Bộ trưởng Ngoại giao Vương Nghị đã có chuyến thăm một số nước ở khu vực này; ra mắt Trung tâm nghiên cứu Cộng đồng chung vận mệnh tại thủ đô Bắc Kinh (Trung Quốc). Quan hệ giữa Mỹ và Trung Quốc tiếp tục duy trì xu thế cạnh tranh chiến lược và duy trì tiếp xúc cấp cao, hợp tác trên một số lĩnh vực mà hai bên có chung lợi ích. </w:t>
      </w:r>
    </w:p>
    <w:p w:rsidR="001D4E9D" w:rsidRPr="001D4E9D" w:rsidRDefault="001D4E9D" w:rsidP="001D4E9D">
      <w:pPr>
        <w:widowControl w:val="0"/>
        <w:spacing w:before="120" w:after="0" w:line="240" w:lineRule="auto"/>
        <w:ind w:firstLine="567"/>
        <w:jc w:val="both"/>
        <w:rPr>
          <w:rFonts w:eastAsia="Calibri" w:cs="Times New Roman"/>
          <w:bCs/>
          <w:iCs/>
          <w:spacing w:val="-2"/>
          <w:szCs w:val="28"/>
          <w:lang w:val="vi-VN"/>
        </w:rPr>
      </w:pPr>
      <w:r w:rsidRPr="001D4E9D">
        <w:rPr>
          <w:rFonts w:eastAsia="Calibri" w:cs="Times New Roman"/>
          <w:bCs/>
          <w:iCs/>
          <w:spacing w:val="-2"/>
          <w:szCs w:val="28"/>
          <w:lang w:val="vi-VN"/>
        </w:rPr>
        <w:t xml:space="preserve">Quan hệ giữa Nga với Mỹ và phương </w:t>
      </w:r>
      <w:r w:rsidRPr="001D4E9D">
        <w:rPr>
          <w:rFonts w:eastAsia="Calibri" w:cs="Times New Roman"/>
          <w:bCs/>
          <w:iCs/>
          <w:spacing w:val="-2"/>
          <w:szCs w:val="28"/>
        </w:rPr>
        <w:t>T</w:t>
      </w:r>
      <w:r w:rsidRPr="001D4E9D">
        <w:rPr>
          <w:rFonts w:eastAsia="Calibri" w:cs="Times New Roman"/>
          <w:bCs/>
          <w:iCs/>
          <w:spacing w:val="-2"/>
          <w:szCs w:val="28"/>
          <w:lang w:val="vi-VN"/>
        </w:rPr>
        <w:t>ây chưa có dấu hiệu hòa hoãn. Mỹ và EU tiếp tục áp đặt thêm các biện pháp trừng phạt Nga. Trong khi đó, Nga tiếp tục duy trì lập trường cứng rắn đối với vấn đề Ukraine. Để ứng phó với</w:t>
      </w:r>
      <w:r w:rsidRPr="001D4E9D">
        <w:rPr>
          <w:rFonts w:eastAsia="Calibri" w:cs="Times New Roman"/>
          <w:bCs/>
          <w:iCs/>
          <w:spacing w:val="-2"/>
          <w:szCs w:val="28"/>
        </w:rPr>
        <w:t xml:space="preserve"> các biện pháp</w:t>
      </w:r>
      <w:r w:rsidRPr="001D4E9D">
        <w:rPr>
          <w:rFonts w:eastAsia="Calibri" w:cs="Times New Roman"/>
          <w:bCs/>
          <w:iCs/>
          <w:spacing w:val="-2"/>
          <w:szCs w:val="28"/>
          <w:lang w:val="vi-VN"/>
        </w:rPr>
        <w:t xml:space="preserve"> trừng phạt từ </w:t>
      </w:r>
      <w:r w:rsidRPr="001D4E9D">
        <w:rPr>
          <w:rFonts w:eastAsia="Calibri" w:cs="Times New Roman"/>
          <w:bCs/>
          <w:iCs/>
          <w:spacing w:val="-2"/>
          <w:szCs w:val="28"/>
        </w:rPr>
        <w:t xml:space="preserve">Mỹ và </w:t>
      </w:r>
      <w:r w:rsidRPr="001D4E9D">
        <w:rPr>
          <w:rFonts w:eastAsia="Calibri" w:cs="Times New Roman"/>
          <w:bCs/>
          <w:iCs/>
          <w:spacing w:val="-2"/>
          <w:szCs w:val="28"/>
          <w:lang w:val="vi-VN"/>
        </w:rPr>
        <w:t>phương Tây, Tổng thống Nga Vladimir Putin đã chỉ đạo điều chỉnh cơ cấu tăng trưởng kinh tế, nhấn mạnh trọng tâm phát triển nền kinh tế cung ứng nhằm thúc đẩy sản xuất trong nước, mở rộng cơ hội việc làm và nâng cao năng lực công nghiệp.</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lang w:val="vi-VN"/>
        </w:rPr>
        <w:t xml:space="preserve">Tại châu Á, tình hình chính trị tại Hàn Quốc tiếp tục căng thẳng khi Tổng thống Yoon Suk Yeol bị cơ quan Điều tra Chống tham nhũng đối với quan chức cấp cao thi hành lệnh bắt giữ. Nhiều quan chức cấp cao của nước này cũng đệ đơn từ chức. Tình hình bán đảo Triều Tiên tiếp tục tiềm ẩn nguy cơ xung quanh vấn đề thử tên lửa của Triều Tiên. </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lang w:val="vi-VN"/>
        </w:rPr>
        <w:t xml:space="preserve">Khu vực Trung Đông có diễn biến mang tính bước ngoặt khi Israel và lực lượng Hamas đạt được thỏa thuận ngừng bắn vào ngày 15/01/2025. Ngày 09/02/2025, quân đội Israel đã hoàn tất việc rút quân khỏi hành lang Netzarim trên một tuyến đường cao tốc quan trọng ở vùng lãnh thổ này theo thỏa thuận ngừng bắn đang diễn ra. Theo </w:t>
      </w:r>
      <w:r w:rsidRPr="001D4E9D">
        <w:rPr>
          <w:rFonts w:eastAsia="Calibri" w:cs="Times New Roman"/>
          <w:bCs/>
          <w:iCs/>
          <w:szCs w:val="28"/>
          <w:lang w:val="vi-VN"/>
        </w:rPr>
        <w:lastRenderedPageBreak/>
        <w:t xml:space="preserve">thỏa thuận ngừng bắn giai đoạn đầu kéo dài 6 tuần, hai bên đã tiến hành nhiều đợt trao trả con tin, nối lại hoạt động viện trợ nhân đạo ở Gaza và cho phép người di tản được trở về nhà của họ ở phía Bắc. Hiện tại, các bên đang hướng đến việc đàm phán ngừng bắn giai đoạn 2, cho phép nhiều con tin sẽ được trả tự do hơn. Mặt khác, xung đột giữa Israel và Hezbollah tiếp tục diễn biến phức tạp với việc Israel duy trì không kích vào lực lược này. </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lang w:val="vi-VN"/>
        </w:rPr>
        <w:t xml:space="preserve">Xung đột Nga - Ukraine tiếp tục giằng co trên thực địa nhằm tạo điều kiện thuận lợi trong đàm phán. Quyết định đóng băng chi tiêu của Cơ quan Phát triển Quốc tế Mỹ (USAID) trong 90 ngày từ Tổng thống </w:t>
      </w:r>
      <w:r w:rsidRPr="001D4E9D">
        <w:rPr>
          <w:rFonts w:eastAsia="Calibri" w:cs="Times New Roman"/>
          <w:bCs/>
          <w:iCs/>
          <w:szCs w:val="28"/>
        </w:rPr>
        <w:t>Mỹ</w:t>
      </w:r>
      <w:r w:rsidRPr="001D4E9D">
        <w:rPr>
          <w:rFonts w:eastAsia="Calibri" w:cs="Times New Roman"/>
          <w:bCs/>
          <w:iCs/>
          <w:szCs w:val="28"/>
          <w:lang w:val="vi-VN"/>
        </w:rPr>
        <w:t xml:space="preserve"> Donald Trump đang tạo ra những tác động sâu rộng tại Ukraine. Tuy nhiên, ngày 06/02/2025, lực lượng Ukraine đã phát động một loạt tấn công mới vào khu vực Kursk, tiến vào sâu 5km phía sau các tuyến phòng thủ của Nga, đặc biệt là ở khu vực Đông Nam Sudzha. Trước đó, Tổng thống Ukraine Volodymyr Zelensky đã gọi cuộc tấn công ở Kursk là “một hoạt động rất quan trọng” và khẳng định đây sẽ là quân bài mặc cả trong các cuộc đàm phán tương lai. Ngày 07/02/2025, Liên bang Nga thông báo đã giành quyền kiểm soát Toretsk, một thị trấn công nghiệp quan trọng ở miền Đông Ukraine, nơi đã trở thành tâm điểm của chiến sự trong suốt 6 tháng qua. </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lang w:val="vi-VN"/>
        </w:rPr>
        <w:t>Tăng trư</w:t>
      </w:r>
      <w:r w:rsidRPr="001D4E9D">
        <w:rPr>
          <w:rFonts w:eastAsia="Calibri" w:cs="Times New Roman"/>
          <w:bCs/>
          <w:iCs/>
          <w:szCs w:val="28"/>
        </w:rPr>
        <w:t>ở</w:t>
      </w:r>
      <w:r w:rsidRPr="001D4E9D">
        <w:rPr>
          <w:rFonts w:eastAsia="Calibri" w:cs="Times New Roman"/>
          <w:bCs/>
          <w:iCs/>
          <w:szCs w:val="28"/>
          <w:lang w:val="vi-VN"/>
        </w:rPr>
        <w:t>ng kinh tế toàn cầu trong năm 2025 được dự báo khả quan hơn so với năm 2024. Liên hợp quốc dự báo tăng trưởng ở mức 2.8%</w:t>
      </w:r>
      <w:r w:rsidRPr="001D4E9D">
        <w:rPr>
          <w:rFonts w:eastAsia="Calibri" w:cs="Times New Roman"/>
          <w:bCs/>
          <w:iCs/>
          <w:szCs w:val="28"/>
        </w:rPr>
        <w:t>,</w:t>
      </w:r>
      <w:r w:rsidRPr="001D4E9D">
        <w:rPr>
          <w:rFonts w:eastAsia="Calibri" w:cs="Times New Roman"/>
          <w:bCs/>
          <w:iCs/>
          <w:szCs w:val="28"/>
          <w:lang w:val="vi-VN"/>
        </w:rPr>
        <w:t xml:space="preserve"> tuy nhiên cho rằng, kinh tế thế giới tiếp tục đối mặt với rủi ro từ căng thẳng thương mại, xung đột địa chính trị, nợ công tăng cao và áp lực về nhân khẩu học. Xu hướng bảo hộ thương mại có xu hướng gia tăng khi nhiều quốc gia chuẩn bị nhiều biện pháp để ứng phó với khả năng bị áp thuế từ </w:t>
      </w:r>
      <w:r w:rsidRPr="001D4E9D">
        <w:rPr>
          <w:rFonts w:eastAsia="Calibri" w:cs="Times New Roman"/>
          <w:bCs/>
          <w:iCs/>
          <w:szCs w:val="28"/>
        </w:rPr>
        <w:t>Mỹ</w:t>
      </w:r>
      <w:r w:rsidRPr="001D4E9D">
        <w:rPr>
          <w:rFonts w:eastAsia="Calibri" w:cs="Times New Roman"/>
          <w:bCs/>
          <w:iCs/>
          <w:szCs w:val="28"/>
          <w:lang w:val="vi-VN"/>
        </w:rPr>
        <w:t xml:space="preserve">. Các quốc gia đẩy mạnh nghiên cứu và ứng dụng khoa học - công nghệ, trong đó nổi bật là trí tuệ nhân tạo. </w:t>
      </w:r>
    </w:p>
    <w:p w:rsidR="001D4E9D" w:rsidRPr="001D4E9D" w:rsidRDefault="001D4E9D" w:rsidP="001D4E9D">
      <w:pPr>
        <w:widowControl w:val="0"/>
        <w:spacing w:before="120" w:after="0" w:line="240" w:lineRule="auto"/>
        <w:ind w:firstLine="567"/>
        <w:jc w:val="both"/>
        <w:rPr>
          <w:rFonts w:eastAsia="Calibri" w:cs="Times New Roman"/>
          <w:b/>
          <w:bCs/>
          <w:iCs/>
          <w:szCs w:val="28"/>
        </w:rPr>
      </w:pPr>
      <w:r w:rsidRPr="001D4E9D">
        <w:rPr>
          <w:rFonts w:eastAsia="Calibri" w:cs="Times New Roman"/>
          <w:b/>
          <w:bCs/>
          <w:iCs/>
          <w:spacing w:val="2"/>
          <w:szCs w:val="28"/>
          <w:lang w:val="vi-VN"/>
        </w:rPr>
        <w:t xml:space="preserve">2. Một số </w:t>
      </w:r>
      <w:r w:rsidRPr="001D4E9D">
        <w:rPr>
          <w:rFonts w:eastAsia="Calibri" w:cs="Times New Roman"/>
          <w:b/>
          <w:bCs/>
          <w:iCs/>
          <w:spacing w:val="2"/>
          <w:szCs w:val="28"/>
        </w:rPr>
        <w:t xml:space="preserve">nét về </w:t>
      </w:r>
      <w:r w:rsidRPr="001D4E9D">
        <w:rPr>
          <w:rFonts w:eastAsia="Calibri" w:cs="Times New Roman"/>
          <w:b/>
          <w:bCs/>
          <w:iCs/>
          <w:spacing w:val="2"/>
          <w:szCs w:val="28"/>
          <w:lang w:val="vi-VN"/>
        </w:rPr>
        <w:t>t</w:t>
      </w:r>
      <w:r w:rsidRPr="001D4E9D">
        <w:rPr>
          <w:rFonts w:eastAsia="Calibri" w:cs="Times New Roman"/>
          <w:b/>
          <w:bCs/>
          <w:iCs/>
          <w:szCs w:val="28"/>
          <w:lang w:val="vi-VN"/>
        </w:rPr>
        <w:t xml:space="preserve">ình hình chính trị tại </w:t>
      </w:r>
      <w:r w:rsidRPr="001D4E9D">
        <w:rPr>
          <w:rFonts w:eastAsia="Calibri" w:cs="Times New Roman"/>
          <w:b/>
          <w:bCs/>
          <w:iCs/>
          <w:szCs w:val="28"/>
        </w:rPr>
        <w:t>Mỹ</w:t>
      </w:r>
    </w:p>
    <w:p w:rsidR="001D4E9D" w:rsidRPr="001D4E9D" w:rsidRDefault="001D4E9D" w:rsidP="001D4E9D">
      <w:pPr>
        <w:widowControl w:val="0"/>
        <w:spacing w:before="120" w:after="0" w:line="240" w:lineRule="auto"/>
        <w:ind w:firstLine="567"/>
        <w:jc w:val="both"/>
        <w:rPr>
          <w:rFonts w:eastAsia="Calibri" w:cs="Times New Roman"/>
          <w:i/>
          <w:szCs w:val="28"/>
          <w:lang w:val="vi-VN"/>
        </w:rPr>
      </w:pPr>
      <w:r w:rsidRPr="001D4E9D">
        <w:rPr>
          <w:rFonts w:eastAsia="Calibri" w:cs="Times New Roman"/>
          <w:i/>
          <w:szCs w:val="28"/>
          <w:lang w:val="vi-VN"/>
        </w:rPr>
        <w:t>Ngày 20/01/2025, ông Donal Trump đã chính thức tuyên thệ nhậm chức, trở thành Tổng thống thứ 47 của nước Mỹ. Trong diễn văn nhậm chức, ông tuyên bố “kỷ nguyên vàng” của nước Mỹ đã bắt đầu và khẳng định “nước Mỹ sẽ sớm vĩ đại hơn, mạnh mẽ hơn và phi thường hơn bao giờ hết”. Chỉ trong thời gian ngắn sau khi nhậm chức, chính quyền của Tổng thống Donald Trump đã tạo ra những thay đổi mạnh mẽ và nhanh chóng trong chính sách đối nội, đối ngoại của Mỹ, tác động sâu rộng đến trật tự thế giới và đời sống người dân Mỹ.</w:t>
      </w:r>
    </w:p>
    <w:p w:rsidR="001D4E9D" w:rsidRPr="001D4E9D" w:rsidRDefault="001D4E9D" w:rsidP="001D4E9D">
      <w:pPr>
        <w:widowControl w:val="0"/>
        <w:spacing w:before="120" w:after="0" w:line="240" w:lineRule="auto"/>
        <w:ind w:firstLine="567"/>
        <w:jc w:val="both"/>
        <w:rPr>
          <w:rFonts w:eastAsia="Calibri" w:cs="Times New Roman"/>
          <w:iCs/>
          <w:szCs w:val="28"/>
          <w:lang w:val="vi-VN"/>
        </w:rPr>
      </w:pPr>
      <w:r w:rsidRPr="001D4E9D">
        <w:rPr>
          <w:rFonts w:eastAsia="Calibri" w:cs="Times New Roman"/>
          <w:iCs/>
          <w:szCs w:val="28"/>
          <w:lang w:val="vi-VN"/>
        </w:rPr>
        <w:t xml:space="preserve">Một trong những thay đổi đáng chú ý nhất là việc cải tổ chính phủ với sự tham gia của tỷ phú Elon Musk với vai trò là lãnh đạo Bộ Hiệu quả Chính phủ (Doge). Chính quyền Trump đã phong tỏa chi tiêu của Cơ quan Phát triển Quốc tế Mỹ (USAID) và các chương trình liên bang khác, đồng thời hủy bỏ các chính sách về biến đổi khí hậu trước đây, đảo ngược nhiều chính sách của chính quyền tiền nhiệm. Các chính sách đối nội của </w:t>
      </w:r>
      <w:r w:rsidRPr="001D4E9D">
        <w:rPr>
          <w:rFonts w:eastAsia="Calibri" w:cs="Times New Roman"/>
          <w:iCs/>
          <w:szCs w:val="28"/>
        </w:rPr>
        <w:t>Mỹ</w:t>
      </w:r>
      <w:r w:rsidRPr="001D4E9D">
        <w:rPr>
          <w:rFonts w:eastAsia="Calibri" w:cs="Times New Roman"/>
          <w:iCs/>
          <w:szCs w:val="28"/>
          <w:lang w:val="vi-VN"/>
        </w:rPr>
        <w:t xml:space="preserve"> tập trung tăng cường bảo hộ sản xuất trong nước với việc </w:t>
      </w:r>
      <w:r w:rsidRPr="001D4E9D">
        <w:rPr>
          <w:rFonts w:eastAsia="Calibri" w:cs="Times New Roman"/>
          <w:iCs/>
          <w:szCs w:val="28"/>
          <w:lang w:val="vi-VN"/>
        </w:rPr>
        <w:lastRenderedPageBreak/>
        <w:t>bãi bỏ các hạn chế với các công ty khai thác nhiên liệu hóa thạch, bãi bỏ khoản trợ cấp cho xe điện, khởi động điều tra các hoạt động thương mại, tiền tệ. Bên cạnh đó là đẩy mạnh hoạt động về an ninh, quốc phòng, trong đó nổi bật là vấn đề người nhập cư trái phép. Chính phủ Mỹ đã bắt đầu đưa người nhập cư không có giấy tờ hợp pháp từ Mỹ đến một cơ sở giam giữ </w:t>
      </w:r>
      <w:hyperlink r:id="rId7" w:history="1">
        <w:r w:rsidRPr="001D4E9D">
          <w:rPr>
            <w:rFonts w:eastAsia="Calibri" w:cs="Times New Roman"/>
            <w:iCs/>
            <w:szCs w:val="28"/>
            <w:lang w:val="vi-VN"/>
          </w:rPr>
          <w:t>quân sự</w:t>
        </w:r>
      </w:hyperlink>
      <w:r w:rsidRPr="001D4E9D">
        <w:rPr>
          <w:rFonts w:eastAsia="Calibri" w:cs="Times New Roman"/>
          <w:iCs/>
          <w:szCs w:val="28"/>
          <w:lang w:val="vi-VN"/>
        </w:rPr>
        <w:t xml:space="preserve"> tại Vịnh Guantanamo, sau khi ông Trump công bố kế hoạch mở rộng cơ sở giam giữ người di cư tại căn cứ hải quân Mỹ ở Cuba. </w:t>
      </w:r>
    </w:p>
    <w:p w:rsidR="001D4E9D" w:rsidRPr="001D4E9D" w:rsidRDefault="001D4E9D" w:rsidP="001D4E9D">
      <w:pPr>
        <w:widowControl w:val="0"/>
        <w:spacing w:before="120" w:after="0" w:line="240" w:lineRule="auto"/>
        <w:ind w:firstLine="567"/>
        <w:jc w:val="both"/>
        <w:rPr>
          <w:rFonts w:eastAsia="Calibri" w:cs="Times New Roman"/>
          <w:iCs/>
          <w:spacing w:val="-2"/>
          <w:szCs w:val="28"/>
          <w:lang w:val="vi-VN"/>
        </w:rPr>
      </w:pPr>
      <w:r w:rsidRPr="001D4E9D">
        <w:rPr>
          <w:rFonts w:eastAsia="Calibri" w:cs="Times New Roman"/>
          <w:iCs/>
          <w:spacing w:val="-2"/>
          <w:szCs w:val="28"/>
          <w:lang w:val="vi-VN"/>
        </w:rPr>
        <w:t xml:space="preserve">Về đối ngoại, chính quyền của Tổng thống Donal Trump triển khai nhiều biện pháp cứng rắn về đa phương với việc rút khỏi hàng loạt các tổ chức, thỏa thuận quốc tế. Nổi bật là Hiệp định Paris về biến đổi khí hậu, Tổ chức Y tế thế giới, Hội đồng Nhân quyền Liên hợp quốc. Ngày 06/02/2025, Tổng thống Donal Trump ký sắc lệnh hành pháp áp đặt trừng phạt đối với Tòa án Hình sự quốc tế (ICC). Sắc lệnh cáo buộc ICC “lạm quyền” và tham gia vào các hành động “vô căn cứ” nhằm vào Mỹ và đồng minh thân cận ở Trung Đông. Theo sắc lệnh, </w:t>
      </w:r>
      <w:r w:rsidRPr="001D4E9D">
        <w:rPr>
          <w:rFonts w:eastAsia="Calibri" w:cs="Times New Roman"/>
          <w:iCs/>
          <w:spacing w:val="-2"/>
          <w:szCs w:val="28"/>
        </w:rPr>
        <w:t>Mỹ</w:t>
      </w:r>
      <w:r w:rsidRPr="001D4E9D">
        <w:rPr>
          <w:rFonts w:eastAsia="Calibri" w:cs="Times New Roman"/>
          <w:iCs/>
          <w:spacing w:val="-2"/>
          <w:szCs w:val="28"/>
          <w:lang w:val="vi-VN"/>
        </w:rPr>
        <w:t xml:space="preserve"> đã quyết định đóng băng tài sản và cấm nhập cảnh các quan chức, nhân viên của ICC và thành viên gia đình của họ, cùng với mọi đối tượng được cho </w:t>
      </w:r>
      <w:r w:rsidRPr="001D4E9D">
        <w:rPr>
          <w:rFonts w:eastAsia="Calibri" w:cs="Times New Roman"/>
          <w:iCs/>
          <w:spacing w:val="-2"/>
          <w:szCs w:val="28"/>
        </w:rPr>
        <w:t xml:space="preserve">là </w:t>
      </w:r>
      <w:r w:rsidRPr="001D4E9D">
        <w:rPr>
          <w:rFonts w:eastAsia="Calibri" w:cs="Times New Roman"/>
          <w:iCs/>
          <w:spacing w:val="-2"/>
          <w:szCs w:val="28"/>
          <w:lang w:val="vi-VN"/>
        </w:rPr>
        <w:t>đã giúp đỡ các cuộc điều tra của tòa án.</w:t>
      </w:r>
    </w:p>
    <w:p w:rsidR="001D4E9D" w:rsidRPr="001D4E9D" w:rsidRDefault="001D4E9D" w:rsidP="001D4E9D">
      <w:pPr>
        <w:widowControl w:val="0"/>
        <w:spacing w:before="120" w:after="0" w:line="240" w:lineRule="auto"/>
        <w:ind w:firstLine="567"/>
        <w:jc w:val="both"/>
        <w:rPr>
          <w:rFonts w:eastAsia="Calibri" w:cs="Times New Roman"/>
          <w:szCs w:val="28"/>
          <w:lang w:val="vi-VN"/>
        </w:rPr>
      </w:pPr>
      <w:r w:rsidRPr="001D4E9D">
        <w:rPr>
          <w:rFonts w:eastAsia="Calibri" w:cs="Times New Roman"/>
          <w:iCs/>
          <w:szCs w:val="28"/>
          <w:lang w:val="vi-VN"/>
        </w:rPr>
        <w:t xml:space="preserve">Về song phương, </w:t>
      </w:r>
      <w:r w:rsidRPr="001D4E9D">
        <w:rPr>
          <w:rFonts w:eastAsia="Calibri" w:cs="Times New Roman"/>
          <w:szCs w:val="28"/>
          <w:lang w:val="vi-VN"/>
        </w:rPr>
        <w:t xml:space="preserve">Tổng thống </w:t>
      </w:r>
      <w:r w:rsidRPr="001D4E9D">
        <w:rPr>
          <w:rFonts w:eastAsia="Calibri" w:cs="Times New Roman"/>
          <w:iCs/>
          <w:spacing w:val="-2"/>
          <w:szCs w:val="28"/>
          <w:lang w:val="vi-VN"/>
        </w:rPr>
        <w:t>Donal</w:t>
      </w:r>
      <w:r w:rsidRPr="001D4E9D">
        <w:rPr>
          <w:rFonts w:eastAsia="Calibri" w:cs="Times New Roman"/>
          <w:szCs w:val="28"/>
          <w:lang w:val="vi-VN"/>
        </w:rPr>
        <w:t xml:space="preserve"> Trump tuyên bố tạm dừng viện trợ nước ngoài, tái đưa Cuba vào danh sách tài trợ khủng bố. Đặc biệt là tăng cường sức ép kinh tế lên các nước láng giềng bằng việc áp thuế 25% đối với hàng nhập khẩu từ Canada và Mexico, 10% đối với hàng hóa từ Trung Quốc, bắt đầu từ ngày 04/02/2025 để đối phó với tình trạng khẩn cấp quốc gia về fentanyl (một loại thuốc giảm đau gây nghiện) và dòng người nhập cư bất hợp pháp vào Mỹ. Trong đó, sản phẩm năng lượng từ Canada chỉ chịu thuế 10%, nhưng mặt hàng năng lượng nhập khẩu từ Mexico sẽ bị áp mức thuế 25%.</w:t>
      </w:r>
    </w:p>
    <w:p w:rsidR="001D4E9D" w:rsidRPr="001D4E9D" w:rsidRDefault="001D4E9D" w:rsidP="001D4E9D">
      <w:pPr>
        <w:widowControl w:val="0"/>
        <w:spacing w:before="120" w:after="0" w:line="240" w:lineRule="auto"/>
        <w:ind w:firstLine="567"/>
        <w:jc w:val="both"/>
        <w:rPr>
          <w:rFonts w:eastAsia="Calibri" w:cs="Times New Roman"/>
          <w:szCs w:val="28"/>
          <w:lang w:val="vi-VN"/>
        </w:rPr>
      </w:pPr>
      <w:r w:rsidRPr="001D4E9D">
        <w:rPr>
          <w:rFonts w:eastAsia="Calibri" w:cs="Times New Roman"/>
          <w:szCs w:val="28"/>
          <w:lang w:val="vi-VN"/>
        </w:rPr>
        <w:t xml:space="preserve">Cùng với đó, Tổng thống </w:t>
      </w:r>
      <w:r w:rsidRPr="001D4E9D">
        <w:rPr>
          <w:rFonts w:eastAsia="Calibri" w:cs="Times New Roman"/>
          <w:iCs/>
          <w:spacing w:val="-2"/>
          <w:szCs w:val="28"/>
          <w:lang w:val="vi-VN"/>
        </w:rPr>
        <w:t>Donal</w:t>
      </w:r>
      <w:r w:rsidRPr="001D4E9D">
        <w:rPr>
          <w:rFonts w:eastAsia="Calibri" w:cs="Times New Roman"/>
          <w:szCs w:val="28"/>
          <w:lang w:val="vi-VN"/>
        </w:rPr>
        <w:t xml:space="preserve"> Trump tuyên bố “tình trạng khẩn cấp quốc gia” theo Đạo luật Quyền hạn Kinh tế khẩn cấp quốc tế để ủng hộ các mức thuế này. Tổng thống </w:t>
      </w:r>
      <w:r w:rsidRPr="001D4E9D">
        <w:rPr>
          <w:rFonts w:eastAsia="Calibri" w:cs="Times New Roman"/>
          <w:iCs/>
          <w:spacing w:val="-2"/>
          <w:szCs w:val="28"/>
          <w:lang w:val="vi-VN"/>
        </w:rPr>
        <w:t>Donal</w:t>
      </w:r>
      <w:r w:rsidRPr="001D4E9D">
        <w:rPr>
          <w:rFonts w:eastAsia="Calibri" w:cs="Times New Roman"/>
          <w:szCs w:val="28"/>
          <w:lang w:val="vi-VN"/>
        </w:rPr>
        <w:t xml:space="preserve"> Trump cũng cam kết sẽ áp thêm thuế đối với mặt hàng năng lượng, chất bán dẫn và các mặt hàng nhập khẩu khác trong tương lai gần. Ngoài việc áp đặt thuế với Canada, Mexico và Trung Quốc, Tổng thống Mỹ </w:t>
      </w:r>
      <w:r w:rsidRPr="001D4E9D">
        <w:rPr>
          <w:rFonts w:eastAsia="Calibri" w:cs="Times New Roman"/>
          <w:iCs/>
          <w:spacing w:val="-2"/>
          <w:szCs w:val="28"/>
          <w:lang w:val="vi-VN"/>
        </w:rPr>
        <w:t>Donal</w:t>
      </w:r>
      <w:r w:rsidRPr="001D4E9D">
        <w:rPr>
          <w:rFonts w:eastAsia="Calibri" w:cs="Times New Roman"/>
          <w:szCs w:val="28"/>
          <w:lang w:val="vi-VN"/>
        </w:rPr>
        <w:t xml:space="preserve"> Trump còn để ngỏ khả năng sẽ áp thuế đối với các sản phẩm của Liên minh châu Âu (EU) trong tương lai. Ngay sau khi bị Mỹ áp thuế, Tổng thống Mexico yêu cầu Bộ trưởng Kinh tế nước này triển khai “Kế hoạch B” bao gồm các biện pháp cả thuế quan và phi thuế quan để bảo vệ lợi ích đất nước. Về phía Canada, Thủ tướng Canada Justin Trudeau ngày 01/02/2025 tuyên bố sẽ áp mức thuế 25% lên hàng hóa Mỹ. Mặc dù vậy, sau đó Tổng thống </w:t>
      </w:r>
      <w:r w:rsidRPr="001D4E9D">
        <w:rPr>
          <w:rFonts w:eastAsia="Calibri" w:cs="Times New Roman"/>
          <w:iCs/>
          <w:spacing w:val="-2"/>
          <w:szCs w:val="28"/>
          <w:lang w:val="vi-VN"/>
        </w:rPr>
        <w:t>Donal</w:t>
      </w:r>
      <w:r w:rsidRPr="001D4E9D">
        <w:rPr>
          <w:rFonts w:eastAsia="Calibri" w:cs="Times New Roman"/>
          <w:szCs w:val="28"/>
          <w:lang w:val="vi-VN"/>
        </w:rPr>
        <w:t xml:space="preserve"> Trump đã quyết định hoãn kế hoạch áp thuế 25% đối với hàng hóa từ Mexico và Canada trong vòng 30 ngày, sau khi đạt được thỏa thuận về các biện pháp kiểm soát biên giới và phòng chống tội phạm với hai quốc gia láng giềng.</w:t>
      </w:r>
    </w:p>
    <w:p w:rsidR="001D4E9D" w:rsidRPr="001D4E9D" w:rsidRDefault="001D4E9D" w:rsidP="001D4E9D">
      <w:pPr>
        <w:widowControl w:val="0"/>
        <w:spacing w:before="120" w:after="0" w:line="240" w:lineRule="auto"/>
        <w:ind w:firstLine="567"/>
        <w:jc w:val="both"/>
        <w:rPr>
          <w:rFonts w:eastAsia="Calibri" w:cs="Times New Roman"/>
          <w:szCs w:val="28"/>
          <w:lang w:val="vi-VN"/>
        </w:rPr>
      </w:pPr>
      <w:r w:rsidRPr="001D4E9D">
        <w:rPr>
          <w:rFonts w:eastAsia="Calibri" w:cs="Times New Roman"/>
          <w:szCs w:val="28"/>
          <w:lang w:val="vi-VN"/>
        </w:rPr>
        <w:t xml:space="preserve">Về phía Trung Quốc, nước này đã ra các tuyên bố phản đối về việc áp thuế của Mỹ, nêu rõ cách làm đơn phương tăng thuế quan của Mỹ vi phạm nghiêm trọng quy tắc của Tổ chức Thương mại Thế giới (WTO), phá vỡ sự hợp tác kinh tế và thương </w:t>
      </w:r>
      <w:r w:rsidRPr="001D4E9D">
        <w:rPr>
          <w:rFonts w:eastAsia="Calibri" w:cs="Times New Roman"/>
          <w:szCs w:val="28"/>
          <w:lang w:val="vi-VN"/>
        </w:rPr>
        <w:lastRenderedPageBreak/>
        <w:t>mại giữa hai nước. Trung Quốc tuyên bố sẽ áp mức thuế 15% đối với than và khí tự nhiên hóa lỏng (LNG) nhập khẩu từ Mỹ, đồng thời áp thuế 10% đối với dầu thô, thiết bị nông nghiệp và một số dòng xe ô tô từ ngày 10/02/2025; đồng thời áp dụng biện pháp kiểm soát xuất khẩu đối với một số khoáng sản quan trọng và đưa hai công ty của Mỹ vào danh sách các thực thể không đáng tin cậy. Trung Quốc đã nộp đơn khiếu nại lên WTO.</w:t>
      </w:r>
    </w:p>
    <w:p w:rsidR="001D4E9D" w:rsidRPr="001D4E9D" w:rsidRDefault="001D4E9D" w:rsidP="001D4E9D">
      <w:pPr>
        <w:widowControl w:val="0"/>
        <w:spacing w:before="120" w:after="0" w:line="240" w:lineRule="auto"/>
        <w:ind w:firstLine="567"/>
        <w:jc w:val="both"/>
        <w:rPr>
          <w:rFonts w:eastAsia="Calibri" w:cs="Times New Roman"/>
          <w:szCs w:val="28"/>
        </w:rPr>
      </w:pPr>
      <w:r w:rsidRPr="001D4E9D">
        <w:rPr>
          <w:rFonts w:eastAsia="Calibri" w:cs="Times New Roman"/>
          <w:szCs w:val="28"/>
          <w:lang w:val="vi-VN"/>
        </w:rPr>
        <w:t xml:space="preserve">Về một số điểm nóng xung đột trên thế giới: Đối với tình hình tại dải Gaza, Tổng thống Donal Trump tuyên bố </w:t>
      </w:r>
      <w:r w:rsidRPr="001D4E9D">
        <w:rPr>
          <w:rFonts w:eastAsia="Calibri" w:cs="Times New Roman"/>
          <w:szCs w:val="28"/>
        </w:rPr>
        <w:t>Mỹ</w:t>
      </w:r>
      <w:r w:rsidRPr="001D4E9D">
        <w:rPr>
          <w:rFonts w:eastAsia="Calibri" w:cs="Times New Roman"/>
          <w:szCs w:val="28"/>
          <w:lang w:val="vi-VN"/>
        </w:rPr>
        <w:t xml:space="preserve"> sẽ “tiếp quản” và “sở hữu” Gaza, đồng thời tái định cư người dân Palestine trong quá trình này. Ông Donal Trump đề xuất phát triển vùng lãnh thổ bị tàn phá sau 15 tháng chiến tranh giữa Israel và Hamas thành “Riviera của Trung Đông”. Phát biểu này của ông Donal Trump đã vấp phải sự chỉ trích, phản đối gay gắt từ phong trào Hồi giáo Hamas và hàng loạt nước trên thế giới. Đối với tình hình tại Ukraine, Tổng thống Donal Trump tuyên bố đã đạt được tiến triển đáng kể trong việc giải quyết cuộc khủng hoảng Ukraine; đồng thời, cho biết muốn tiếp cận các mỏ khoáng sản đất hiếm của Ukraine để đổi lấy viện trợ quân sự trong tương lai. Đặc phái viên Mỹ về Ukraine Keith Kellogg cho biết, Tổng thống Donald Trump đã tập hợp toàn bộ nhóm cố vấn an ninh quốc gia và các thành viên nội các để thảo luận về việc sử dụng “mọi yếu tố của sức mạnh quốc gia” để chấm dứt cuộc xung đột giữa Nga và Ukraine. Trước những động thái gần đây của chính quyền </w:t>
      </w:r>
      <w:r w:rsidRPr="001D4E9D">
        <w:rPr>
          <w:rFonts w:eastAsia="Calibri" w:cs="Times New Roman"/>
          <w:szCs w:val="28"/>
        </w:rPr>
        <w:t>Mỹ</w:t>
      </w:r>
      <w:r w:rsidRPr="001D4E9D">
        <w:rPr>
          <w:rFonts w:eastAsia="Calibri" w:cs="Times New Roman"/>
          <w:szCs w:val="28"/>
          <w:lang w:val="vi-VN"/>
        </w:rPr>
        <w:t xml:space="preserve">, các chuyên gia cho rằng, chính quyền Tổng thống </w:t>
      </w:r>
      <w:r w:rsidRPr="001D4E9D">
        <w:rPr>
          <w:rFonts w:eastAsia="Calibri" w:cs="Times New Roman"/>
          <w:szCs w:val="28"/>
        </w:rPr>
        <w:t>Mỹ</w:t>
      </w:r>
      <w:r w:rsidRPr="001D4E9D">
        <w:rPr>
          <w:rFonts w:eastAsia="Calibri" w:cs="Times New Roman"/>
          <w:szCs w:val="28"/>
          <w:lang w:val="vi-VN"/>
        </w:rPr>
        <w:t xml:space="preserve"> Donal Trump vẫn đang trong giai đoạn định hình và chưa có cách tiếp cận rõ ràng đối với cuộc xung đột ở Ukraine. Tuy nhiên, </w:t>
      </w:r>
      <w:r w:rsidRPr="001D4E9D">
        <w:rPr>
          <w:rFonts w:eastAsia="Calibri" w:cs="Times New Roman"/>
          <w:szCs w:val="28"/>
        </w:rPr>
        <w:t>Mỹ</w:t>
      </w:r>
      <w:r w:rsidRPr="001D4E9D">
        <w:rPr>
          <w:rFonts w:eastAsia="Calibri" w:cs="Times New Roman"/>
          <w:szCs w:val="28"/>
          <w:lang w:val="vi-VN"/>
        </w:rPr>
        <w:t xml:space="preserve"> vẫn đang tích cực tạo tiền đề cho các cuộc đàm phán trong tương lai. </w:t>
      </w:r>
    </w:p>
    <w:bookmarkEnd w:id="0"/>
    <w:p w:rsidR="001D4E9D" w:rsidRPr="001D4E9D" w:rsidRDefault="001D4E9D" w:rsidP="001D4E9D">
      <w:pPr>
        <w:widowControl w:val="0"/>
        <w:spacing w:before="120" w:after="0" w:line="240" w:lineRule="auto"/>
        <w:ind w:firstLine="567"/>
        <w:jc w:val="both"/>
        <w:rPr>
          <w:rFonts w:eastAsia="Calibri" w:cs="Times New Roman"/>
          <w:b/>
          <w:spacing w:val="-2"/>
          <w:szCs w:val="28"/>
          <w:lang w:val="vi-VN"/>
        </w:rPr>
      </w:pPr>
      <w:r w:rsidRPr="001D4E9D">
        <w:rPr>
          <w:rFonts w:eastAsia="Calibri" w:cs="Times New Roman"/>
          <w:b/>
          <w:spacing w:val="-2"/>
          <w:szCs w:val="28"/>
          <w:lang w:val="vi-VN"/>
        </w:rPr>
        <w:t>3. Cạnh tranh công nghệ trí tuệ nhân tạo</w:t>
      </w:r>
    </w:p>
    <w:p w:rsidR="001D4E9D" w:rsidRPr="001D4E9D" w:rsidRDefault="001D4E9D" w:rsidP="001D4E9D">
      <w:pPr>
        <w:widowControl w:val="0"/>
        <w:spacing w:before="120" w:after="0" w:line="240" w:lineRule="auto"/>
        <w:ind w:firstLine="567"/>
        <w:jc w:val="both"/>
        <w:rPr>
          <w:rFonts w:eastAsia="Calibri" w:cs="Times New Roman"/>
          <w:bCs/>
          <w:i/>
          <w:iCs/>
          <w:spacing w:val="-2"/>
          <w:szCs w:val="28"/>
          <w:lang w:val="vi-VN"/>
        </w:rPr>
      </w:pPr>
      <w:r w:rsidRPr="001D4E9D">
        <w:rPr>
          <w:rFonts w:eastAsia="Calibri" w:cs="Times New Roman"/>
          <w:bCs/>
          <w:i/>
          <w:iCs/>
          <w:spacing w:val="-2"/>
          <w:szCs w:val="28"/>
          <w:lang w:val="vi-VN"/>
        </w:rPr>
        <w:t>Cuộc cạnh tranh trong lĩnh vực khoa học - công nghệ, đặc biệt là trí tuệ nhân tạo, đang ngày càng trở nên khốc liệt. Với sự ra đời của mô hình trí tuệ nhân tạo DeepSeek, tác động của khoa học - công nghệ tới mọi mặt của đời sống quốc tế đang tr</w:t>
      </w:r>
      <w:r w:rsidRPr="001D4E9D">
        <w:rPr>
          <w:rFonts w:eastAsia="Calibri" w:cs="Times New Roman"/>
          <w:bCs/>
          <w:i/>
          <w:iCs/>
          <w:spacing w:val="-2"/>
          <w:szCs w:val="28"/>
        </w:rPr>
        <w:t>ở</w:t>
      </w:r>
      <w:r w:rsidRPr="001D4E9D">
        <w:rPr>
          <w:rFonts w:eastAsia="Calibri" w:cs="Times New Roman"/>
          <w:bCs/>
          <w:i/>
          <w:iCs/>
          <w:spacing w:val="-2"/>
          <w:szCs w:val="28"/>
          <w:lang w:val="vi-VN"/>
        </w:rPr>
        <w:t xml:space="preserve"> nên mạnh mẽ hơn. </w:t>
      </w:r>
    </w:p>
    <w:p w:rsidR="001D4E9D" w:rsidRPr="001D4E9D" w:rsidRDefault="001D4E9D" w:rsidP="001D4E9D">
      <w:pPr>
        <w:widowControl w:val="0"/>
        <w:spacing w:before="120" w:after="0" w:line="240" w:lineRule="auto"/>
        <w:ind w:firstLine="567"/>
        <w:jc w:val="both"/>
        <w:rPr>
          <w:rFonts w:eastAsia="Calibri" w:cs="Times New Roman"/>
          <w:spacing w:val="-4"/>
          <w:szCs w:val="28"/>
          <w:lang w:val="vi-VN"/>
        </w:rPr>
      </w:pPr>
      <w:r w:rsidRPr="001D4E9D">
        <w:rPr>
          <w:rFonts w:eastAsia="Calibri" w:cs="Times New Roman"/>
          <w:spacing w:val="-4"/>
          <w:szCs w:val="28"/>
          <w:lang w:val="vi-VN"/>
        </w:rPr>
        <w:t xml:space="preserve">Công nghệ trí tuệ nhân tạo (AI) bắt đầu bùng nổ và gây chú ý kể từ sau sự kiện ra mắt của ChatGPT vào cuối năm 2022, đưa Nvidia trở thành một trong những công ty có giá trị nhất thế giới về phát triển AI. </w:t>
      </w:r>
      <w:r>
        <w:rPr>
          <w:rFonts w:eastAsia="Calibri" w:cs="Times New Roman"/>
          <w:spacing w:val="-4"/>
          <w:szCs w:val="28"/>
        </w:rPr>
        <w:t xml:space="preserve"> </w:t>
      </w:r>
      <w:r w:rsidRPr="001D4E9D">
        <w:rPr>
          <w:rFonts w:eastAsia="Calibri" w:cs="Times New Roman"/>
          <w:spacing w:val="-4"/>
          <w:szCs w:val="28"/>
          <w:lang w:val="vi-VN"/>
        </w:rPr>
        <w:t>DeepSeek là một công ty trí tuệ nhân tạo của Trung Quốc thành lập từ năm 2023; chỉ hơn 01 năm sau khi hình thành, DeepSeek đã ra mắt sản phẩm cốt lõi DeepSeek-R1 vào ngày 20/01/2025, gây sốc cho giới công nghệ toàn cầu khi giới thiệu các mô hình AI có hiệu suất ngang tầm những Chatbot hàng đầu thế giới, nhưng với chi phí phát triển thấp hơn nhiều. Chỉ trong thời gian đầu DeepSeek ra mắt, giá cổ phiếu của nhà sản xuất chip NVIDIA lao dốc.</w:t>
      </w:r>
    </w:p>
    <w:p w:rsidR="001D4E9D" w:rsidRPr="001D4E9D" w:rsidRDefault="001D4E9D" w:rsidP="001D4E9D">
      <w:pPr>
        <w:widowControl w:val="0"/>
        <w:spacing w:before="120" w:after="0" w:line="240" w:lineRule="auto"/>
        <w:ind w:firstLine="567"/>
        <w:jc w:val="both"/>
        <w:rPr>
          <w:rFonts w:eastAsia="Calibri" w:cs="Times New Roman"/>
          <w:spacing w:val="-4"/>
          <w:szCs w:val="28"/>
          <w:lang w:val="vi-VN"/>
        </w:rPr>
      </w:pPr>
      <w:r w:rsidRPr="001D4E9D">
        <w:rPr>
          <w:rFonts w:eastAsia="Calibri" w:cs="Times New Roman"/>
          <w:spacing w:val="-4"/>
          <w:szCs w:val="28"/>
          <w:lang w:val="vi-VN"/>
        </w:rPr>
        <w:t xml:space="preserve">Sự xuất hiện của DeepSeek thách thức vị thế hàng đầu ngành công nghiệp AI của Mỹ, đồng thời làm suy yếu luận điểm có thể kiềm chế Trung Quốc bằng cách kiểm soát xuất khẩu của nước này. Các biện pháp kiểm soát này được coi như động lực giúp Trung </w:t>
      </w:r>
      <w:r w:rsidRPr="001D4E9D">
        <w:rPr>
          <w:rFonts w:eastAsia="Calibri" w:cs="Times New Roman"/>
          <w:spacing w:val="-4"/>
          <w:szCs w:val="28"/>
          <w:lang w:val="vi-VN"/>
        </w:rPr>
        <w:lastRenderedPageBreak/>
        <w:t>Quốc đổi mới và tạo ra các mô hình tương đương nhưng với giá rẻ hơn. DeepSeek và mạng xã hội </w:t>
      </w:r>
      <w:hyperlink r:id="rId8" w:history="1">
        <w:r w:rsidRPr="001D4E9D">
          <w:rPr>
            <w:rFonts w:eastAsia="Calibri" w:cs="Times New Roman"/>
            <w:spacing w:val="-4"/>
            <w:szCs w:val="28"/>
            <w:lang w:val="vi-VN"/>
          </w:rPr>
          <w:t>Tiktok</w:t>
        </w:r>
      </w:hyperlink>
      <w:r w:rsidRPr="001D4E9D">
        <w:rPr>
          <w:rFonts w:eastAsia="Calibri" w:cs="Times New Roman"/>
          <w:spacing w:val="-4"/>
          <w:szCs w:val="28"/>
          <w:lang w:val="vi-VN"/>
        </w:rPr>
        <w:t xml:space="preserve"> mang đến sự đột phá thực sự khi thu hút lượng lớn người dùng phương Tây. Sự xuất hiện của DeepSeek đã khởi động làn sóng ra mắt các mô hình AI của Trung Quốc, với tuyên bố rằng các sản phẩm của họ tương đương với các công ty Mỹ nhưng hiệu quả gấp nhiều lần, với chi phí tối ưu hơn. Điều này đã làm dấy lên vấn đề về việc thay đổi chiến thuật trong cạnh tranh công nghệ. Theo đó, các công ty công nghệ Mỹ phải xem xét lại chiến lược phát triển, thay vì đầu tư phần cứng là các con chip siêu tốc độ đắt đỏ thì cần phải chuyển sang tối ưu thuật toán để giảm chi phí. Ngoài ra, đó còn là tăng cường khả năng dễ tiếp cận và mở rộng cơ hội phát triển sang các quốc gia có tiềm năng. </w:t>
      </w:r>
    </w:p>
    <w:p w:rsidR="001D4E9D" w:rsidRPr="001D4E9D" w:rsidRDefault="001D4E9D" w:rsidP="001D4E9D">
      <w:pPr>
        <w:widowControl w:val="0"/>
        <w:spacing w:before="120" w:after="0" w:line="240" w:lineRule="auto"/>
        <w:ind w:firstLine="567"/>
        <w:jc w:val="both"/>
        <w:rPr>
          <w:rFonts w:eastAsia="Calibri" w:cs="Times New Roman"/>
          <w:spacing w:val="-4"/>
          <w:szCs w:val="28"/>
          <w:lang w:val="vi-VN"/>
        </w:rPr>
      </w:pPr>
      <w:r w:rsidRPr="001D4E9D">
        <w:rPr>
          <w:rFonts w:eastAsia="Calibri" w:cs="Times New Roman"/>
          <w:spacing w:val="-4"/>
          <w:szCs w:val="28"/>
          <w:lang w:val="vi-VN"/>
        </w:rPr>
        <w:t xml:space="preserve">Công nghệ của DeepSeek với các phần mềm mã nguồn mở tạo ra các giá trị mới đánh dấu một bước ngoặt lớn và có thể trở thành cơ hội quan trọng cho khu vực châu Á. Indonesia và Ấn Độ đã công bố hợp tác (thông qua AIonOS và Indosat) để thành lập trung tâm về AI, tận dụng các mô hình của DeepSeek. Cơ sở điện toán AI sắp tới của Ấn Độ sẽ sử dụng các mô hình DeepSeek trên các máy chủ cục bộ để giải quyết các mối lo ngại liên quan việc bị kiểm soát dữ liệu. Trong khi đó, theo bà Kat Duffy, thành viên của Hội đồng quan hệ đối ngoại (CFR) của </w:t>
      </w:r>
      <w:r w:rsidRPr="001D4E9D">
        <w:rPr>
          <w:rFonts w:eastAsia="Calibri" w:cs="Times New Roman"/>
          <w:spacing w:val="-4"/>
          <w:szCs w:val="28"/>
        </w:rPr>
        <w:t>Mỹ</w:t>
      </w:r>
      <w:r w:rsidRPr="001D4E9D">
        <w:rPr>
          <w:rFonts w:eastAsia="Calibri" w:cs="Times New Roman"/>
          <w:spacing w:val="-4"/>
          <w:szCs w:val="28"/>
          <w:lang w:val="vi-VN"/>
        </w:rPr>
        <w:t xml:space="preserve">, </w:t>
      </w:r>
      <w:r w:rsidRPr="001D4E9D">
        <w:rPr>
          <w:rFonts w:eastAsia="Calibri" w:cs="Times New Roman"/>
          <w:spacing w:val="-4"/>
          <w:szCs w:val="28"/>
        </w:rPr>
        <w:t>Mỹ</w:t>
      </w:r>
      <w:r w:rsidRPr="001D4E9D">
        <w:rPr>
          <w:rFonts w:eastAsia="Calibri" w:cs="Times New Roman"/>
          <w:spacing w:val="-4"/>
          <w:szCs w:val="28"/>
          <w:lang w:val="vi-VN"/>
        </w:rPr>
        <w:t xml:space="preserve"> đang phát triển AI theo cách tiếp cận riêng, không đáp ứng được nhu cầu của hầu hết các quốc gia trên </w:t>
      </w:r>
      <w:hyperlink r:id="rId9" w:history="1">
        <w:r w:rsidRPr="001D4E9D">
          <w:rPr>
            <w:rFonts w:eastAsia="Calibri" w:cs="Times New Roman"/>
            <w:spacing w:val="-4"/>
            <w:szCs w:val="28"/>
            <w:lang w:val="vi-VN"/>
          </w:rPr>
          <w:t>thế giới</w:t>
        </w:r>
      </w:hyperlink>
      <w:r w:rsidRPr="001D4E9D">
        <w:rPr>
          <w:rFonts w:eastAsia="Calibri" w:cs="Times New Roman"/>
          <w:spacing w:val="-4"/>
          <w:szCs w:val="28"/>
          <w:lang w:val="vi-VN"/>
        </w:rPr>
        <w:t>.</w:t>
      </w:r>
    </w:p>
    <w:p w:rsidR="001D4E9D" w:rsidRPr="001D4E9D" w:rsidRDefault="001D4E9D" w:rsidP="001D4E9D">
      <w:pPr>
        <w:widowControl w:val="0"/>
        <w:spacing w:before="120" w:after="0" w:line="240" w:lineRule="auto"/>
        <w:ind w:firstLine="567"/>
        <w:jc w:val="both"/>
        <w:rPr>
          <w:rFonts w:eastAsia="Calibri" w:cs="Times New Roman"/>
          <w:spacing w:val="-4"/>
          <w:szCs w:val="28"/>
          <w:lang w:val="vi-VN"/>
        </w:rPr>
      </w:pPr>
      <w:r w:rsidRPr="001D4E9D">
        <w:rPr>
          <w:rFonts w:eastAsia="Calibri" w:cs="Times New Roman"/>
          <w:spacing w:val="-4"/>
          <w:szCs w:val="28"/>
          <w:lang w:val="vi-VN"/>
        </w:rPr>
        <w:t xml:space="preserve">Thành công vượt bậc của DeepSeek đã làm dấy lên nỗi lo ngại trong cộng đồng an ninh quốc gia </w:t>
      </w:r>
      <w:r w:rsidRPr="001D4E9D">
        <w:rPr>
          <w:rFonts w:eastAsia="Calibri" w:cs="Times New Roman"/>
          <w:spacing w:val="-4"/>
          <w:szCs w:val="28"/>
        </w:rPr>
        <w:t>Mỹ</w:t>
      </w:r>
      <w:r w:rsidRPr="001D4E9D">
        <w:rPr>
          <w:rFonts w:eastAsia="Calibri" w:cs="Times New Roman"/>
          <w:spacing w:val="-4"/>
          <w:szCs w:val="28"/>
          <w:lang w:val="vi-VN"/>
        </w:rPr>
        <w:t xml:space="preserve">. Nhiều chuyên gia cảnh báo sản phẩm AI của Trung Quốc có thể rẻ hơn và ngày càng vượt trội hơn, từ đó đe dọa vị thế dẫn đầu của </w:t>
      </w:r>
      <w:r w:rsidRPr="001D4E9D">
        <w:rPr>
          <w:rFonts w:eastAsia="Calibri" w:cs="Times New Roman"/>
          <w:spacing w:val="-4"/>
          <w:szCs w:val="28"/>
        </w:rPr>
        <w:t>Mỹ</w:t>
      </w:r>
      <w:r w:rsidRPr="001D4E9D">
        <w:rPr>
          <w:rFonts w:eastAsia="Calibri" w:cs="Times New Roman"/>
          <w:spacing w:val="-4"/>
          <w:szCs w:val="28"/>
          <w:lang w:val="vi-VN"/>
        </w:rPr>
        <w:t xml:space="preserve"> trong cuộc đua công nghệ tiên tiến. Một số cơ quan chính phủ ở nhiều quốc gia đã chặn hoặc đang xem xét chặn DeepSeek trên thiết bị của nhân viên chính phủ. Hầu hết các quốc gia và khu vực đưa ra lệnh cấm DeepSeek đều viện dẫn lý do rủi ro an ninh và thiếu minh bạch về dữ liệu người dùng. Ngày 30/01/2025, Cơ quan Bảo vệ Dữ liệu Italy (Garante) yêu cầu hạn chế xử lý dữ liệu của người dùng Italy trên DeepSeek do thiếu minh bạch về quyền riêng tư. Ngày 31/01/2025, Cơ quan Hàng không - Vũ trụ </w:t>
      </w:r>
      <w:r w:rsidRPr="001D4E9D">
        <w:rPr>
          <w:rFonts w:eastAsia="Calibri" w:cs="Times New Roman"/>
          <w:spacing w:val="-4"/>
          <w:szCs w:val="28"/>
        </w:rPr>
        <w:t>Mỹ</w:t>
      </w:r>
      <w:r w:rsidRPr="001D4E9D">
        <w:rPr>
          <w:rFonts w:eastAsia="Calibri" w:cs="Times New Roman"/>
          <w:spacing w:val="-4"/>
          <w:szCs w:val="28"/>
          <w:lang w:val="vi-VN"/>
        </w:rPr>
        <w:t xml:space="preserve"> (NASA) chặn DeepSeek khỏi hệ thống và thiết bị của nhân viên. Ngày 06/02/2025, tờ Wall Street Journal đưa tin các nghị sĩ </w:t>
      </w:r>
      <w:r w:rsidRPr="001D4E9D">
        <w:rPr>
          <w:rFonts w:eastAsia="Calibri" w:cs="Times New Roman"/>
          <w:spacing w:val="-4"/>
          <w:szCs w:val="28"/>
        </w:rPr>
        <w:t>Mỹ</w:t>
      </w:r>
      <w:r w:rsidRPr="001D4E9D">
        <w:rPr>
          <w:rFonts w:eastAsia="Calibri" w:cs="Times New Roman"/>
          <w:spacing w:val="-4"/>
          <w:szCs w:val="28"/>
          <w:lang w:val="vi-VN"/>
        </w:rPr>
        <w:t xml:space="preserve"> đang lên kế hoạch đưa ra dự luật cấm DeepSeek trên các thiết bị chính phủ. Ngày 06/02/2025, chính phủ Australia cấm DeepSeek trên tất cả thiết bị của nhân viên chính phủ, viện dẫn rủi ro an ninh.</w:t>
      </w:r>
      <w:r w:rsidRPr="001D4E9D">
        <w:rPr>
          <w:rFonts w:eastAsia="Calibri" w:cs="Times New Roman"/>
          <w:szCs w:val="28"/>
          <w:lang w:val="vi-VN"/>
        </w:rPr>
        <w:t xml:space="preserve"> </w:t>
      </w:r>
      <w:r w:rsidRPr="001D4E9D">
        <w:rPr>
          <w:rFonts w:eastAsia="Calibri" w:cs="Times New Roman"/>
          <w:spacing w:val="-4"/>
          <w:szCs w:val="28"/>
          <w:lang w:val="vi-VN"/>
        </w:rPr>
        <w:t>Ngày 07/02/2025, Bộ Thương mại, Công nghiệp và Năng lượng Hàn Quốc tuyên bố tạm thời cấm DeepSeek trên thiết bị của nhân viên do lo ngại về an ninh.</w:t>
      </w:r>
      <w:r w:rsidRPr="001D4E9D">
        <w:rPr>
          <w:rFonts w:eastAsia="Calibri" w:cs="Times New Roman"/>
          <w:szCs w:val="28"/>
          <w:lang w:val="vi-VN"/>
        </w:rPr>
        <w:t xml:space="preserve"> </w:t>
      </w:r>
    </w:p>
    <w:p w:rsidR="001D4E9D" w:rsidRPr="001D4E9D" w:rsidRDefault="001D4E9D" w:rsidP="001D4E9D">
      <w:pPr>
        <w:widowControl w:val="0"/>
        <w:spacing w:before="120" w:after="0" w:line="240" w:lineRule="auto"/>
        <w:ind w:firstLine="567"/>
        <w:jc w:val="both"/>
        <w:rPr>
          <w:rFonts w:eastAsia="Calibri" w:cs="Times New Roman"/>
          <w:spacing w:val="-4"/>
          <w:szCs w:val="28"/>
          <w:lang w:val="vi-VN"/>
        </w:rPr>
      </w:pPr>
      <w:r w:rsidRPr="001D4E9D">
        <w:rPr>
          <w:rFonts w:eastAsia="Calibri" w:cs="Times New Roman"/>
          <w:szCs w:val="28"/>
          <w:lang w:val="vi-VN"/>
        </w:rPr>
        <w:t>Theo các chuyên gia, với sự ra đời của DeepSeek, cuộc đua AI không còn chỉ xoay quanh việc công ty hay quốc gia nào phát triển các mô hình tiên tiến nhất; mà ngày càng phụ thuộc vào việc ai khai thác AI hiệu quả nhất.</w:t>
      </w:r>
    </w:p>
    <w:p w:rsidR="001D4E9D" w:rsidRPr="001D4E9D" w:rsidRDefault="001D4E9D" w:rsidP="001D4E9D">
      <w:pPr>
        <w:widowControl w:val="0"/>
        <w:spacing w:before="120" w:after="0" w:line="240" w:lineRule="auto"/>
        <w:ind w:firstLine="567"/>
        <w:jc w:val="both"/>
        <w:rPr>
          <w:rFonts w:eastAsia="Calibri" w:cs="Times New Roman"/>
          <w:b/>
          <w:bCs/>
          <w:spacing w:val="-2"/>
          <w:szCs w:val="28"/>
          <w:lang w:val="vi-VN"/>
        </w:rPr>
      </w:pPr>
      <w:r w:rsidRPr="001D4E9D">
        <w:rPr>
          <w:rFonts w:eastAsia="Calibri" w:cs="Times New Roman"/>
          <w:b/>
          <w:spacing w:val="-2"/>
          <w:szCs w:val="28"/>
          <w:lang w:val="vi-VN"/>
        </w:rPr>
        <w:t xml:space="preserve">4. </w:t>
      </w:r>
      <w:r w:rsidRPr="001D4E9D">
        <w:rPr>
          <w:rFonts w:eastAsia="Calibri" w:cs="Times New Roman"/>
          <w:b/>
          <w:bCs/>
          <w:spacing w:val="-2"/>
          <w:szCs w:val="28"/>
          <w:lang w:val="vi-VN"/>
        </w:rPr>
        <w:t>Nga - Iran ký thỏa thuận quan hệ đối tác chiến lược toàn diện</w:t>
      </w:r>
    </w:p>
    <w:p w:rsidR="001D4E9D" w:rsidRPr="001D4E9D" w:rsidRDefault="001D4E9D" w:rsidP="001D4E9D">
      <w:pPr>
        <w:widowControl w:val="0"/>
        <w:spacing w:before="120" w:after="0" w:line="240" w:lineRule="auto"/>
        <w:ind w:firstLine="567"/>
        <w:jc w:val="both"/>
        <w:rPr>
          <w:rFonts w:eastAsia="Calibri" w:cs="Times New Roman"/>
          <w:bCs/>
          <w:i/>
          <w:iCs/>
          <w:szCs w:val="28"/>
          <w:lang w:val="vi-VN"/>
        </w:rPr>
      </w:pPr>
      <w:r w:rsidRPr="001D4E9D">
        <w:rPr>
          <w:rFonts w:eastAsia="Calibri" w:cs="Times New Roman"/>
          <w:bCs/>
          <w:i/>
          <w:iCs/>
          <w:szCs w:val="28"/>
          <w:lang w:val="vi-VN"/>
        </w:rPr>
        <w:t>Với việc ký thỏa thuận về quan hệ đối tác chiến lược toàn diện, quan hệ Nga -</w:t>
      </w:r>
      <w:r w:rsidRPr="001D4E9D">
        <w:rPr>
          <w:rFonts w:eastAsia="Calibri" w:cs="Times New Roman"/>
          <w:bCs/>
          <w:i/>
          <w:iCs/>
          <w:szCs w:val="28"/>
          <w:lang w:val="vi-VN"/>
        </w:rPr>
        <w:lastRenderedPageBreak/>
        <w:t>Iran đã đạt đến một cấp độ hợp tác mới, đồng thời góp phần củng cố hơn nữa quan hệ hai nước.</w:t>
      </w:r>
    </w:p>
    <w:p w:rsidR="001D4E9D" w:rsidRPr="001D4E9D" w:rsidRDefault="001D4E9D" w:rsidP="001D4E9D">
      <w:pPr>
        <w:widowControl w:val="0"/>
        <w:spacing w:before="120" w:after="0" w:line="240" w:lineRule="auto"/>
        <w:ind w:firstLine="567"/>
        <w:jc w:val="both"/>
        <w:rPr>
          <w:rFonts w:eastAsia="Calibri" w:cs="Times New Roman"/>
          <w:bCs/>
          <w:iCs/>
          <w:spacing w:val="-2"/>
          <w:szCs w:val="28"/>
          <w:lang w:val="vi-VN"/>
        </w:rPr>
      </w:pPr>
      <w:r w:rsidRPr="001D4E9D">
        <w:rPr>
          <w:rFonts w:eastAsia="Calibri" w:cs="Times New Roman"/>
          <w:bCs/>
          <w:iCs/>
          <w:spacing w:val="-2"/>
          <w:szCs w:val="28"/>
          <w:lang w:val="vi-VN"/>
        </w:rPr>
        <w:t>Những năm gần đây, quan hệ Nga - Iran đạt được nhiều bước tiến quan trọng. Nga ủng hộ Iran gia nhập Nhóm các nền kinh tế mới nổi hàng đầu thế giới (BRICS) và SCO (Tổ chức Hợp tác Thượng Hải). Vào tháng 12/2023, Iran đã ký Hiệp định thương mại tự do toàn diện với Liên minh Kinh tế Á - Âu (EAEU), có hiệu lực năm 2025. Tháng 01/2024, Iran</w:t>
      </w:r>
      <w:r w:rsidRPr="001D4E9D">
        <w:rPr>
          <w:rFonts w:eastAsia="Calibri" w:cs="Times New Roman"/>
          <w:bCs/>
          <w:iCs/>
          <w:spacing w:val="-2"/>
          <w:szCs w:val="28"/>
        </w:rPr>
        <w:t xml:space="preserve"> </w:t>
      </w:r>
      <w:r w:rsidRPr="001D4E9D">
        <w:rPr>
          <w:rFonts w:eastAsia="Calibri" w:cs="Times New Roman"/>
          <w:bCs/>
          <w:iCs/>
          <w:spacing w:val="-2"/>
          <w:szCs w:val="28"/>
          <w:lang w:val="vi-VN"/>
        </w:rPr>
        <w:t>chính thức gia nhập BRICS, cùng Ai Cập, Ethiopia và UAE. Nga - Iran đang thảo luận kế hoạch xây dựng Hành lang vận tải quốc tế Bắc - Nam - một tuyến đường thương mại xuyên lục địa mới nhằm nối Biển Baltic với Ấn Độ Dương. Tuyến đường dài 3.508 dặm, bao gồm hệ thống đường thủy, đường sắt và đường bộ, kéo dài từ thành phố Saint Petersburg đến Biển Caspi, từ đó đến thủ đô Tehran (Iran) rồi đến thành phố Mumbai (Ấn Độ), nhằm mục đích bảo vệ các liên kết thương mại giữa Nga và Iran khỏi sự can thiệp của phương Tây, cũng như thiết lập các liên kết mới với các thị trường ở châu Á. Hai bên đang thực hiện nhiều dự án chung như dự án hợp tác trên biển Caspian, dự án nhà máy điện nguyên tử… Iran cũng là nước nhập khẩu vũ khí lớn thứ ba của Nga sau Ấn Độ và Trung Quốc.</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lang w:val="vi-VN"/>
        </w:rPr>
        <w:t>Với việc nâng cấp quan hệ lên đối tác chiến lược toàn diện, Nga và Iran nhất trí hỗ trợ hợp tác thương mại và kinh tế trong mọi lĩnh vực cùng quan tâm, hợp tác chặt chẽ trong việc tiến hành tập trận quân sự chung. Hai nước nhất trí hợp tác trong cuộc chiến chống khủng bố quốc tế, cũng như các thách thức, mối đe dọa khác. Bên cạnh đó, Nga và Iran cam kết sẽ không tham gia các lệnh trừng phạt mà các nước thứ ba áp đặt cho hai nước và đảm bảo không áp dụng các biện pháp trừng phạt đơn phương. Thay vào đó, hai nước cam kết nỗ lực giải quyết các xung đột thông qua biện pháp ngoại giao, dựa trên Hiến chương Liên hợp quốc.</w:t>
      </w:r>
    </w:p>
    <w:p w:rsidR="001D4E9D" w:rsidRPr="001D4E9D" w:rsidRDefault="001D4E9D" w:rsidP="001D4E9D">
      <w:pPr>
        <w:widowControl w:val="0"/>
        <w:spacing w:before="120" w:after="0" w:line="240" w:lineRule="auto"/>
        <w:ind w:firstLine="567"/>
        <w:jc w:val="both"/>
        <w:rPr>
          <w:rFonts w:eastAsia="Calibri" w:cs="Times New Roman"/>
          <w:bCs/>
          <w:iCs/>
          <w:szCs w:val="28"/>
          <w:lang w:val="vi-VN"/>
        </w:rPr>
      </w:pPr>
      <w:r w:rsidRPr="001D4E9D">
        <w:rPr>
          <w:rFonts w:eastAsia="Calibri" w:cs="Times New Roman"/>
          <w:bCs/>
          <w:iCs/>
          <w:szCs w:val="28"/>
          <w:lang w:val="vi-VN"/>
        </w:rPr>
        <w:t>Phát biểu tại họp báo sau ký kết th</w:t>
      </w:r>
      <w:r w:rsidRPr="001D4E9D">
        <w:rPr>
          <w:rFonts w:eastAsia="Calibri" w:cs="Times New Roman"/>
          <w:bCs/>
          <w:iCs/>
          <w:szCs w:val="28"/>
        </w:rPr>
        <w:t>ỏa</w:t>
      </w:r>
      <w:r w:rsidRPr="001D4E9D">
        <w:rPr>
          <w:rFonts w:eastAsia="Calibri" w:cs="Times New Roman"/>
          <w:bCs/>
          <w:iCs/>
          <w:szCs w:val="28"/>
          <w:lang w:val="vi-VN"/>
        </w:rPr>
        <w:t xml:space="preserve"> thuận đối tác chiến lược toàn diện, Tổng thống Nga Vladimir Putin khẳng định, Nga rất coi trọng việc tăng cường hơn nữa quan hệ hữu nghị và láng giềng tốt đẹp với Iran, dựa trên nguyên tắc bình đẳng, tôn trọng và cân nhắc lợi ích của nhau. Theo ông Vladimir Putin, th</w:t>
      </w:r>
      <w:r w:rsidRPr="001D4E9D">
        <w:rPr>
          <w:rFonts w:eastAsia="Calibri" w:cs="Times New Roman"/>
          <w:bCs/>
          <w:iCs/>
          <w:szCs w:val="28"/>
        </w:rPr>
        <w:t>ỏa</w:t>
      </w:r>
      <w:r w:rsidRPr="001D4E9D">
        <w:rPr>
          <w:rFonts w:eastAsia="Calibri" w:cs="Times New Roman"/>
          <w:bCs/>
          <w:iCs/>
          <w:szCs w:val="28"/>
          <w:lang w:val="vi-VN"/>
        </w:rPr>
        <w:t xml:space="preserve"> thuận đối tác chiến lược toàn diện Nga - Iran đặt ra các mục tiêu đầy tham vọng, nhằm tăng cường hợp tác song phương lâu dài trong các lĩnh vực chính trị, quốc phòng, an ninh, thương mại, đầu tư và nhân đạo, tạo ra các điều kiện cần thiết cho sự phát triển ổn định và bền vững của Nga và Iran. Về phần mình, Tổng thống Iran Masoud Pezeshkian khẳng định, thỏa thuận đối tác chiến lược toàn diện sẽ mở ra một chương mới trong quan hệ giữa </w:t>
      </w:r>
      <w:r w:rsidRPr="001D4E9D">
        <w:rPr>
          <w:rFonts w:eastAsia="Calibri" w:cs="Times New Roman"/>
          <w:bCs/>
          <w:iCs/>
          <w:szCs w:val="28"/>
        </w:rPr>
        <w:t>hai</w:t>
      </w:r>
      <w:r w:rsidRPr="001D4E9D">
        <w:rPr>
          <w:rFonts w:eastAsia="Calibri" w:cs="Times New Roman"/>
          <w:bCs/>
          <w:iCs/>
          <w:szCs w:val="28"/>
          <w:lang w:val="vi-VN"/>
        </w:rPr>
        <w:t xml:space="preserve"> nước, đặc biệt là về quan hệ thương mại và kinh tế.</w:t>
      </w:r>
    </w:p>
    <w:p w:rsidR="001D4E9D" w:rsidRPr="001D4E9D" w:rsidRDefault="001D4E9D" w:rsidP="001D4E9D">
      <w:pPr>
        <w:widowControl w:val="0"/>
        <w:spacing w:before="120" w:after="0" w:line="240" w:lineRule="auto"/>
        <w:ind w:firstLine="567"/>
        <w:jc w:val="both"/>
        <w:rPr>
          <w:rFonts w:eastAsia="Calibri" w:cs="Times New Roman"/>
          <w:bCs/>
          <w:iCs/>
          <w:spacing w:val="-2"/>
          <w:szCs w:val="28"/>
          <w:lang w:val="vi-VN"/>
        </w:rPr>
      </w:pPr>
      <w:r w:rsidRPr="001D4E9D">
        <w:rPr>
          <w:rFonts w:eastAsia="Calibri" w:cs="Times New Roman"/>
          <w:bCs/>
          <w:iCs/>
          <w:spacing w:val="-2"/>
          <w:szCs w:val="28"/>
          <w:lang w:val="vi-VN"/>
        </w:rPr>
        <w:t>Giới chuyên gia dự báo, Thỏa thuận này, cộng với sự xích lại gần nhau giữa Iran và Trung Quốc sẽ tạo hiệu ứng dây chuyền nhằm hình thành mối liên kết chặt chẽ Iran - Nga - Trung Quốc và có thể là sự tham gia của cả Triều Tiên trong tương lai.</w:t>
      </w:r>
    </w:p>
    <w:p w:rsidR="001D4E9D" w:rsidRPr="001D4E9D" w:rsidRDefault="001D4E9D" w:rsidP="001D4E9D">
      <w:pPr>
        <w:widowControl w:val="0"/>
        <w:spacing w:before="120" w:after="0" w:line="240" w:lineRule="auto"/>
        <w:ind w:firstLine="567"/>
        <w:jc w:val="both"/>
        <w:rPr>
          <w:rFonts w:eastAsia="Calibri" w:cs="Times New Roman"/>
          <w:b/>
          <w:spacing w:val="-2"/>
          <w:szCs w:val="28"/>
          <w:lang w:val="vi-VN"/>
        </w:rPr>
      </w:pPr>
      <w:r w:rsidRPr="001D4E9D">
        <w:rPr>
          <w:rFonts w:eastAsia="Calibri" w:cs="Times New Roman"/>
          <w:b/>
          <w:spacing w:val="-2"/>
          <w:szCs w:val="28"/>
        </w:rPr>
        <w:t>1.</w:t>
      </w:r>
      <w:r w:rsidRPr="001D4E9D">
        <w:rPr>
          <w:rFonts w:eastAsia="Calibri" w:cs="Times New Roman"/>
          <w:b/>
          <w:spacing w:val="-2"/>
          <w:szCs w:val="28"/>
          <w:lang w:val="vi-VN"/>
        </w:rPr>
        <w:t>5. Một số sự kiện thế giới đáng chú ý</w:t>
      </w:r>
    </w:p>
    <w:p w:rsidR="001D4E9D" w:rsidRPr="001D4E9D" w:rsidRDefault="001D4E9D" w:rsidP="001D4E9D">
      <w:pPr>
        <w:widowControl w:val="0"/>
        <w:spacing w:before="120" w:after="0" w:line="240" w:lineRule="auto"/>
        <w:ind w:firstLine="567"/>
        <w:jc w:val="both"/>
        <w:rPr>
          <w:rFonts w:eastAsia="Calibri" w:cs="Times New Roman"/>
          <w:spacing w:val="-2"/>
          <w:szCs w:val="28"/>
          <w:lang w:val="vi-VN"/>
        </w:rPr>
      </w:pPr>
      <w:r w:rsidRPr="001D4E9D">
        <w:rPr>
          <w:rFonts w:eastAsia="Calibri" w:cs="Times New Roman"/>
          <w:spacing w:val="-2"/>
          <w:szCs w:val="28"/>
          <w:lang w:val="vi-VN"/>
        </w:rPr>
        <w:lastRenderedPageBreak/>
        <w:t xml:space="preserve">- </w:t>
      </w:r>
      <w:r w:rsidRPr="001D4E9D">
        <w:rPr>
          <w:rFonts w:eastAsia="Calibri" w:cs="Times New Roman"/>
          <w:b/>
          <w:i/>
          <w:spacing w:val="-2"/>
          <w:szCs w:val="28"/>
          <w:lang w:val="vi-VN"/>
        </w:rPr>
        <w:t>Quy mô ngành trí tuệ nhân tạo của thành phố Thượng Hải, Trung Quốc đạt 55 tỷ USD trong năm 2024</w:t>
      </w:r>
      <w:r w:rsidRPr="001D4E9D">
        <w:rPr>
          <w:rFonts w:eastAsia="Calibri" w:cs="Times New Roman"/>
          <w:spacing w:val="-2"/>
          <w:szCs w:val="28"/>
          <w:lang w:val="vi-VN"/>
        </w:rPr>
        <w:t>. Ông Trương Hồng Đào, Phó Giám đốc Ủy ban Kinh tế và Công nghệ thông tin Thượng Hải (Trung Quốc) cho biết, quy mô ngành trí tuệ nhân tạo (AI) của Thượng Hải đạt hơn 400 tỷ Nhân dân tệ (55 tỷ USD) trong năm 2024, tăng hơn 7% so với cùng kỳ năm trước. Để thúc đẩy ứng dụng AI trong các ngành nghề, Thượng Hải đã ban hành “Kế hoạch triển khai trí tuệ nhân tạo để định hình Thượng Hải” vào tháng 12/2024. Kế hoạch triển khai AI để định hình Thượng Hải gồm 22 biện pháp, trong đó tập trung vào các ngành như tài chính, sản xuất, giáo dục, y tế, du lịch văn hóa và quản trị đô thị, tạo điều kiện áp dụng rộng rãi công nghệ AI để cải thiện trình độ thông minh hóa và hiệu quả dịch vụ trong các ngành. Thượng Hải cũng có kế hoạch thu hút các nhóm và nhà khoa học đổi mới hàng đầu trong nước và quốc tế để phát triển mô hình lớn; tăng cường hợp tác với các tổ chức quốc tế, tham gia xây dựng các tiêu chuẩn quản trị AI toàn cầu và định vị ngành công nghiệp AI của Thượng Hải trên trường quốc tế.</w:t>
      </w:r>
    </w:p>
    <w:p w:rsidR="001D4E9D" w:rsidRPr="001D4E9D" w:rsidRDefault="001D4E9D" w:rsidP="001D4E9D">
      <w:pPr>
        <w:widowControl w:val="0"/>
        <w:spacing w:before="120" w:after="0" w:line="240" w:lineRule="auto"/>
        <w:ind w:firstLine="567"/>
        <w:jc w:val="both"/>
        <w:rPr>
          <w:rFonts w:eastAsia="Calibri" w:cs="Times New Roman"/>
          <w:spacing w:val="-2"/>
          <w:szCs w:val="28"/>
          <w:lang w:val="vi-VN"/>
        </w:rPr>
      </w:pPr>
      <w:r w:rsidRPr="001D4E9D">
        <w:rPr>
          <w:rFonts w:eastAsia="Calibri" w:cs="Times New Roman"/>
          <w:b/>
          <w:i/>
          <w:spacing w:val="-2"/>
          <w:szCs w:val="28"/>
          <w:lang w:val="vi-VN"/>
        </w:rPr>
        <w:t xml:space="preserve">- Tổng thống Panama Jose Raul Mulino ra thông báo về việc nước này chính thức rút khỏi sáng kiến về cơ sở hạ tầng Vành đai và Con đường (BRI) của Trung Quốc (06/02). </w:t>
      </w:r>
      <w:r w:rsidRPr="001D4E9D">
        <w:rPr>
          <w:rFonts w:eastAsia="Calibri" w:cs="Times New Roman"/>
          <w:spacing w:val="-2"/>
          <w:szCs w:val="28"/>
          <w:lang w:val="vi-VN"/>
        </w:rPr>
        <w:t xml:space="preserve">Động thái trên được đưa ra sau khi Mỹ gây sức ép về việc giảm ảnh hưởng của Trung Quốc đối với kênh đào Panama. Dù rút khỏi BRI, Tổng thống Mulino tuyên bố, Panama sẽ không cắt đứt quan hệ ngoại giao với Trung Quốc và cho biết đã thông báo cho phía Trung quốc trước 90 ngày theo quy định về quyết định không gia hạn tham gia sáng kiến này. Đồng thời, Tổng thống Panama cũng phủ nhận cáo buộc trong các tuyên bố của Tổng thống </w:t>
      </w:r>
      <w:r w:rsidRPr="001D4E9D">
        <w:rPr>
          <w:rFonts w:eastAsia="Calibri" w:cs="Times New Roman"/>
          <w:spacing w:val="-2"/>
          <w:szCs w:val="28"/>
        </w:rPr>
        <w:t>Mỹ</w:t>
      </w:r>
      <w:r w:rsidRPr="001D4E9D">
        <w:rPr>
          <w:rFonts w:eastAsia="Calibri" w:cs="Times New Roman"/>
          <w:spacing w:val="-2"/>
          <w:szCs w:val="28"/>
          <w:lang w:val="vi-VN"/>
        </w:rPr>
        <w:t xml:space="preserve"> Donal Trump cho rằng Trung Quốc đang kiểm soát Cơ quan quản lý kênh đào Panama. Đồng thời, bác bỏ tuyên bố của </w:t>
      </w:r>
      <w:r w:rsidRPr="001D4E9D">
        <w:rPr>
          <w:rFonts w:eastAsia="Calibri" w:cs="Times New Roman"/>
          <w:spacing w:val="-2"/>
          <w:szCs w:val="28"/>
        </w:rPr>
        <w:t xml:space="preserve">Mỹ </w:t>
      </w:r>
      <w:r w:rsidRPr="001D4E9D">
        <w:rPr>
          <w:rFonts w:eastAsia="Calibri" w:cs="Times New Roman"/>
          <w:spacing w:val="-2"/>
          <w:szCs w:val="28"/>
          <w:lang w:val="vi-VN"/>
        </w:rPr>
        <w:t xml:space="preserve">về việc nước này có một thỏa thuận với chính quyền Tổng thống Donal Trump, trong đó có việc không thu phí các tàu của </w:t>
      </w:r>
      <w:r w:rsidRPr="001D4E9D">
        <w:rPr>
          <w:rFonts w:eastAsia="Calibri" w:cs="Times New Roman"/>
          <w:spacing w:val="-2"/>
          <w:szCs w:val="28"/>
        </w:rPr>
        <w:t>Mỹ</w:t>
      </w:r>
      <w:r w:rsidRPr="001D4E9D">
        <w:rPr>
          <w:rFonts w:eastAsia="Calibri" w:cs="Times New Roman"/>
          <w:spacing w:val="-2"/>
          <w:szCs w:val="28"/>
          <w:lang w:val="vi-VN"/>
        </w:rPr>
        <w:t xml:space="preserve"> đi qua kênh đào Panama.</w:t>
      </w:r>
    </w:p>
    <w:p w:rsidR="001D4E9D" w:rsidRPr="001D4E9D" w:rsidRDefault="001D4E9D" w:rsidP="001D4E9D">
      <w:pPr>
        <w:widowControl w:val="0"/>
        <w:spacing w:before="120" w:after="0" w:line="240" w:lineRule="auto"/>
        <w:ind w:firstLine="567"/>
        <w:jc w:val="both"/>
        <w:rPr>
          <w:rFonts w:eastAsia="Calibri" w:cs="Times New Roman"/>
          <w:spacing w:val="-2"/>
          <w:szCs w:val="28"/>
          <w:lang w:val="vi-VN"/>
        </w:rPr>
      </w:pPr>
      <w:r w:rsidRPr="001D4E9D">
        <w:rPr>
          <w:rFonts w:eastAsia="Calibri" w:cs="Times New Roman"/>
          <w:b/>
          <w:bCs/>
          <w:i/>
          <w:spacing w:val="-2"/>
          <w:szCs w:val="28"/>
          <w:lang w:val="vi-VN"/>
        </w:rPr>
        <w:t>- Pháp sẽ đầu tư 109 tỷ euro vào trí tuệ nhân tạo:</w:t>
      </w:r>
      <w:r w:rsidRPr="001D4E9D">
        <w:rPr>
          <w:rFonts w:eastAsia="Calibri" w:cs="Times New Roman"/>
          <w:spacing w:val="-2"/>
          <w:szCs w:val="28"/>
          <w:lang w:val="vi-VN"/>
        </w:rPr>
        <w:t xml:space="preserve"> Ngày </w:t>
      </w:r>
      <w:r w:rsidRPr="001D4E9D">
        <w:rPr>
          <w:rFonts w:eastAsia="Calibri" w:cs="Times New Roman"/>
          <w:spacing w:val="-2"/>
          <w:szCs w:val="28"/>
        </w:rPr>
        <w:t>0</w:t>
      </w:r>
      <w:r w:rsidRPr="001D4E9D">
        <w:rPr>
          <w:rFonts w:eastAsia="Calibri" w:cs="Times New Roman"/>
          <w:spacing w:val="-2"/>
          <w:szCs w:val="28"/>
          <w:lang w:val="vi-VN"/>
        </w:rPr>
        <w:t>9/</w:t>
      </w:r>
      <w:r w:rsidRPr="001D4E9D">
        <w:rPr>
          <w:rFonts w:eastAsia="Calibri" w:cs="Times New Roman"/>
          <w:spacing w:val="-2"/>
          <w:szCs w:val="28"/>
        </w:rPr>
        <w:t>0</w:t>
      </w:r>
      <w:r w:rsidRPr="001D4E9D">
        <w:rPr>
          <w:rFonts w:eastAsia="Calibri" w:cs="Times New Roman"/>
          <w:spacing w:val="-2"/>
          <w:szCs w:val="28"/>
          <w:lang w:val="vi-VN"/>
        </w:rPr>
        <w:t>2</w:t>
      </w:r>
      <w:r w:rsidRPr="001D4E9D">
        <w:rPr>
          <w:rFonts w:eastAsia="Calibri" w:cs="Times New Roman"/>
          <w:spacing w:val="-2"/>
          <w:szCs w:val="28"/>
        </w:rPr>
        <w:t>/2025</w:t>
      </w:r>
      <w:r w:rsidRPr="001D4E9D">
        <w:rPr>
          <w:rFonts w:eastAsia="Calibri" w:cs="Times New Roman"/>
          <w:spacing w:val="-2"/>
          <w:szCs w:val="28"/>
          <w:lang w:val="vi-VN"/>
        </w:rPr>
        <w:t xml:space="preserve">, Tổng thống Emmanuel Macron khẳng định, Pháp sẽ "tăng tốc" trong nghiên cứu và phát triển trí tuệ nhân tạo (AI) với khoản đầu tư lên tới 109 tỷ euro trong những năm tới. Quyết định này được </w:t>
      </w:r>
      <w:r w:rsidRPr="001D4E9D">
        <w:rPr>
          <w:rFonts w:eastAsia="Calibri" w:cs="Times New Roman"/>
          <w:spacing w:val="-2"/>
          <w:szCs w:val="28"/>
        </w:rPr>
        <w:t xml:space="preserve">đưa </w:t>
      </w:r>
      <w:r w:rsidRPr="001D4E9D">
        <w:rPr>
          <w:rFonts w:eastAsia="Calibri" w:cs="Times New Roman"/>
          <w:spacing w:val="-2"/>
          <w:szCs w:val="28"/>
          <w:lang w:val="vi-VN"/>
        </w:rPr>
        <w:t>ra trước thềm Hội nghị thượng đỉnh Hành động về Trí tuệ nhân tạo diễn ra vào ngày 10 và 11/02 tại Paris. Khoản tiền này gồm có đầu tư tư nhân và nước ngoài. Trong cuộc phỏng vấn trên kênh truyền hình France 2, Tổng thống Pháp cho rằng, nước Pháp cần nắm bắt được "kỷ nguyên tiến bộ mới" này để khẳng định khả năng và không bị phụ thuộc vào nước khác vì AI sẽ mang lại những khả năng thay đổi rất lớn để sống, học tập và được chăm sóc tốt hơn. Theo ông Emmanuel Macron, AI sẽ là những trợ lý đắc lực, chứ không thể thay thế được kỹ năng và công việc của con người. Thí dụ, về lĩnh vực y tế, việc sử dụng AI sẽ giúp phòng ngừa bệnh tốt hơn, phát hiện bệnh đơn giản hơn nhiều và điều trị chính xác hơn nhiều.</w:t>
      </w:r>
    </w:p>
    <w:p w:rsidR="001D4E9D" w:rsidRPr="001D4E9D" w:rsidRDefault="001D4E9D" w:rsidP="001D4E9D">
      <w:pPr>
        <w:widowControl w:val="0"/>
        <w:spacing w:before="120" w:after="0" w:line="240" w:lineRule="auto"/>
        <w:ind w:firstLine="567"/>
        <w:jc w:val="both"/>
        <w:rPr>
          <w:rFonts w:eastAsia="Calibri" w:cs="Times New Roman"/>
          <w:spacing w:val="-2"/>
          <w:szCs w:val="28"/>
          <w:lang w:val="vi-VN"/>
        </w:rPr>
      </w:pPr>
      <w:r w:rsidRPr="001D4E9D">
        <w:rPr>
          <w:rFonts w:eastAsia="Calibri" w:cs="Times New Roman"/>
          <w:i/>
          <w:spacing w:val="-2"/>
          <w:szCs w:val="28"/>
          <w:lang w:val="vi-VN"/>
        </w:rPr>
        <w:t xml:space="preserve">- </w:t>
      </w:r>
      <w:r w:rsidRPr="001D4E9D">
        <w:rPr>
          <w:rFonts w:eastAsia="Calibri" w:cs="Times New Roman"/>
          <w:b/>
          <w:bCs/>
          <w:i/>
          <w:spacing w:val="-2"/>
          <w:szCs w:val="28"/>
          <w:lang w:val="vi-VN"/>
        </w:rPr>
        <w:t>Dịch cúm mùa 2024 - 2025</w:t>
      </w:r>
      <w:r w:rsidRPr="001D4E9D">
        <w:rPr>
          <w:rFonts w:eastAsia="Calibri" w:cs="Times New Roman"/>
          <w:spacing w:val="-2"/>
          <w:szCs w:val="28"/>
          <w:lang w:val="vi-VN"/>
        </w:rPr>
        <w:t xml:space="preserve"> đang lan rộng và gây ảnh hưởng nghiêm trọng đến nhiều quốc gia trên thế giới, gây ra những lo ngại lớn về sức khỏe cộng đồng và tạo sức </w:t>
      </w:r>
      <w:r w:rsidRPr="001D4E9D">
        <w:rPr>
          <w:rFonts w:eastAsia="Calibri" w:cs="Times New Roman"/>
          <w:spacing w:val="-2"/>
          <w:szCs w:val="28"/>
          <w:lang w:val="vi-VN"/>
        </w:rPr>
        <w:lastRenderedPageBreak/>
        <w:t xml:space="preserve">ép nặng nề lên hệ thống y tế toàn cầu. Từ châu Âu, nơi dịch cúm bùng phát mạnh mẽ tại Bỉ, cho đến Mỹ, Nhật Bản, Trung Quốc, nhiều quốc gia và vùng lãnh thổ gia khác, số ca mắc cúm và tử vong tăng đột biến. Các quốc gia này đang vật lộn để kiểm soát dịch bệnh và giảm thiểu các tác động tiêu cực lên xã hội. Tại </w:t>
      </w:r>
      <w:r w:rsidRPr="001D4E9D">
        <w:rPr>
          <w:rFonts w:eastAsia="Calibri" w:cs="Times New Roman"/>
          <w:spacing w:val="-2"/>
          <w:szCs w:val="28"/>
        </w:rPr>
        <w:t>Mỹ</w:t>
      </w:r>
      <w:r w:rsidRPr="001D4E9D">
        <w:rPr>
          <w:rFonts w:eastAsia="Calibri" w:cs="Times New Roman"/>
          <w:spacing w:val="-2"/>
          <w:szCs w:val="28"/>
          <w:lang w:val="vi-VN"/>
        </w:rPr>
        <w:t>, dịch cúm cũng đang ở mức báo động. Theo Trung tâm Kiểm soát và Phòng ngừa Dịch bệnh (CDC), đã có ít nhất 24 triệu ca mắc cúm và 13.000 ca tử vong. Tại Bỉ, tình hình dịch cúm mùa 2024 - 2025 rất nghiêm trọng, với số ca mắc bệnh gia tăng mạnh, làm hệ thống y tế rơi vào tình trạng báo động. Số lượt khám cúm trong tuần cuối tháng 1 đã tăng gấp đôi so với mùa trước, với tỷ lệ người đến khám lên tới mức kỷ lục 1.199/100.000 dân.</w:t>
      </w:r>
    </w:p>
    <w:p w:rsidR="001D4E9D" w:rsidRPr="001D4E9D" w:rsidRDefault="001D4E9D" w:rsidP="001D4E9D">
      <w:pPr>
        <w:widowControl w:val="0"/>
        <w:spacing w:before="120" w:after="0" w:line="240" w:lineRule="auto"/>
        <w:ind w:firstLine="567"/>
        <w:jc w:val="both"/>
        <w:rPr>
          <w:rFonts w:eastAsia="Calibri" w:cs="Times New Roman"/>
          <w:spacing w:val="-2"/>
          <w:szCs w:val="28"/>
        </w:rPr>
      </w:pPr>
      <w:r w:rsidRPr="001D4E9D">
        <w:rPr>
          <w:rFonts w:eastAsia="Calibri" w:cs="Times New Roman"/>
          <w:b/>
          <w:bCs/>
          <w:i/>
          <w:spacing w:val="-2"/>
          <w:szCs w:val="28"/>
          <w:lang w:val="vi-VN"/>
        </w:rPr>
        <w:t>- Nga: Vaccine phòng ung thư có thể được cấp miễn phí cho bệnh nhân sau 2,5 năm nữa:</w:t>
      </w:r>
      <w:r w:rsidRPr="001D4E9D">
        <w:rPr>
          <w:rFonts w:eastAsia="Calibri" w:cs="Times New Roman"/>
          <w:spacing w:val="-2"/>
          <w:szCs w:val="28"/>
          <w:lang w:val="vi-VN"/>
        </w:rPr>
        <w:t xml:space="preserve"> Ngày </w:t>
      </w:r>
      <w:r w:rsidRPr="001D4E9D">
        <w:rPr>
          <w:rFonts w:eastAsia="Calibri" w:cs="Times New Roman"/>
          <w:spacing w:val="-2"/>
          <w:szCs w:val="28"/>
        </w:rPr>
        <w:t>0</w:t>
      </w:r>
      <w:r w:rsidRPr="001D4E9D">
        <w:rPr>
          <w:rFonts w:eastAsia="Calibri" w:cs="Times New Roman"/>
          <w:spacing w:val="-2"/>
          <w:szCs w:val="28"/>
          <w:lang w:val="vi-VN"/>
        </w:rPr>
        <w:t>9/</w:t>
      </w:r>
      <w:r w:rsidRPr="001D4E9D">
        <w:rPr>
          <w:rFonts w:eastAsia="Calibri" w:cs="Times New Roman"/>
          <w:spacing w:val="-2"/>
          <w:szCs w:val="28"/>
        </w:rPr>
        <w:t>0</w:t>
      </w:r>
      <w:r w:rsidRPr="001D4E9D">
        <w:rPr>
          <w:rFonts w:eastAsia="Calibri" w:cs="Times New Roman"/>
          <w:spacing w:val="-2"/>
          <w:szCs w:val="28"/>
          <w:lang w:val="vi-VN"/>
        </w:rPr>
        <w:t>2</w:t>
      </w:r>
      <w:r w:rsidRPr="001D4E9D">
        <w:rPr>
          <w:rFonts w:eastAsia="Calibri" w:cs="Times New Roman"/>
          <w:spacing w:val="-2"/>
          <w:szCs w:val="28"/>
        </w:rPr>
        <w:t>/2025</w:t>
      </w:r>
      <w:r w:rsidRPr="001D4E9D">
        <w:rPr>
          <w:rFonts w:eastAsia="Calibri" w:cs="Times New Roman"/>
          <w:spacing w:val="-2"/>
          <w:szCs w:val="28"/>
          <w:lang w:val="vi-VN"/>
        </w:rPr>
        <w:t>, Hãng tin TASS của Nga dẫn lời ông Andrey Kaprin, Tổng giám đốc Trung tâm nghiên cứu y khoa quốc gia Nga về ung thư cho biết, các bác sĩ Nga có thể bắt đầu điều trị bệnh nhân bằng vaccine mRNA được cá nhân hóa để điều trị ung thư sau 2,5 năm nữa, nhưng trước tiên các nghiên cứu trên người và thử nghiệm độc tính cần phải hoàn tất thành công. Ông Andrey Kaprin cho biết vaccine sẽ được tiêm miễn phí cho bệnh nhân. Theo ông, các tình nguyện viên đã được tuyển để tham gia thử nghiệm lâm sàng vaccine mRNA để điều trị ung thư. Trước đó, ông Alexander Gintsburg, người đứng đầu Viện Nghiên cứu dịch tễ học và vi sinh vật học Gamaleya thông tin, theo kế hoạch trình lên Bộ Y tế Nga, vaccine này dự kiến ​​sẽ được cấp phép sử dụng vào tháng 8 năm nay, để có thể bắt đầu tiêm cho bệnh nhân vào tháng 9 như một phần của thử nghiệm lâm sàng.</w:t>
      </w:r>
    </w:p>
    <w:p w:rsidR="001D4E9D" w:rsidRPr="001D4E9D" w:rsidRDefault="001D4E9D" w:rsidP="001D4E9D">
      <w:pPr>
        <w:spacing w:before="120" w:after="0" w:line="360" w:lineRule="exact"/>
        <w:ind w:firstLine="567"/>
        <w:jc w:val="both"/>
        <w:rPr>
          <w:rFonts w:eastAsia="Calibri" w:cs="Times New Roman"/>
          <w:b/>
          <w:szCs w:val="28"/>
        </w:rPr>
      </w:pPr>
      <w:r>
        <w:rPr>
          <w:rFonts w:eastAsia="Calibri" w:cs="Times New Roman"/>
          <w:b/>
          <w:szCs w:val="28"/>
        </w:rPr>
        <w:t xml:space="preserve">II. THÔNG TIN THỜI SỰ </w:t>
      </w:r>
      <w:r w:rsidRPr="001D4E9D">
        <w:rPr>
          <w:rFonts w:eastAsia="Calibri" w:cs="Times New Roman"/>
          <w:b/>
          <w:szCs w:val="28"/>
        </w:rPr>
        <w:t xml:space="preserve">TRONG NƯỚC </w:t>
      </w:r>
    </w:p>
    <w:p w:rsidR="001D4E9D" w:rsidRPr="001D4E9D" w:rsidRDefault="001D4E9D" w:rsidP="001D4E9D">
      <w:pPr>
        <w:spacing w:before="120" w:after="0" w:line="360" w:lineRule="exact"/>
        <w:ind w:firstLine="567"/>
        <w:jc w:val="both"/>
        <w:rPr>
          <w:rFonts w:eastAsia="Calibri" w:cs="Times New Roman"/>
          <w:b/>
          <w:szCs w:val="28"/>
        </w:rPr>
      </w:pPr>
      <w:r w:rsidRPr="001D4E9D">
        <w:rPr>
          <w:rFonts w:eastAsia="Calibri" w:cs="Times New Roman"/>
          <w:b/>
          <w:szCs w:val="28"/>
        </w:rPr>
        <w:t>1.</w:t>
      </w:r>
      <w:r w:rsidRPr="001D4E9D">
        <w:rPr>
          <w:rFonts w:eastAsia="Calibri" w:cs="Times New Roman"/>
          <w:b/>
          <w:color w:val="FF0000"/>
          <w:szCs w:val="28"/>
        </w:rPr>
        <w:t xml:space="preserve"> </w:t>
      </w:r>
      <w:r w:rsidRPr="001D4E9D">
        <w:rPr>
          <w:rFonts w:eastAsia="Calibri" w:cs="Times New Roman"/>
          <w:b/>
          <w:szCs w:val="28"/>
        </w:rPr>
        <w:t>Tăng cường sự lãnh đạo của Ðảng đối với công tác giáo dục cần, kiệm, liêm, chính, chí công vô tư</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Thời gian qua, công tác giáo dục đạo đức cách mạng cho cán bộ, đảng viên được các cấp ủy, tổ chức đảng quan tâm lãnh đạo, chỉ đạo, đạt được kết quả quan trọng. Tuy nhiên, một số cấp ủy, tổ chức đảng, cán bộ, đảng viên chưa nhận thức đầy đủ và đúng mức về vai trò, tầm quan trọng, tính cấp thiết của công tác này. Ðể tăng cường công tác giáo dục đạo đức cách mạng, trước hết là các phẩm chất cần, kiệm, liêm, chính, chí công vô tư cho cán bộ, đảng viên và nhân dân, nâng cao hiệu quả công tác phòng, chống tham nhũng, lãng phí, tiêu cực, xây dựng Ðảng, Nhà nước và hệ thống chính trị trong sạch, vững mạnh, tại Chỉ thị số 42-CT/TW, ngày 16/01/2025, Bộ Chính trị yêu cầu thời gian tới, các cấp ủy, tổ chức đảng cần tập trung lãnh đạo, chỉ đạo, thực hiện có hiệu quả một số nhiệm vụ, giải pháp trọng tâm sau: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Tuyên truyền sâu rộng làm cho cán bộ, đảng viên và các tầng lớp nhân dân nhận thức cần, kiệm, liêm, chính, chí công vô tư là phẩm chất đạo đức quan trọng hàng đầu của người cán bộ, đảng viên, công chức, viên chức và tính cấp thiết của việc giáo dục </w:t>
      </w:r>
      <w:r w:rsidRPr="001D4E9D">
        <w:rPr>
          <w:rFonts w:eastAsia="Calibri" w:cs="Times New Roman"/>
          <w:szCs w:val="28"/>
        </w:rPr>
        <w:lastRenderedPageBreak/>
        <w:t>và thực hành cần, kiệm, liêm, chính, chí công vô tư trong nội bộ Ðảng, hệ thống chính trị và toàn xã hội.</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Ðối với cán bộ, đảng viên, trước hết là cán bộ chủ chốt, cán bộ lãnh đạo, quản lý, người đứng đầu cấp ủy, tổ chức đảng, chính quyền các cấp phải nêu gương về học tập và thực hành các chuẩn mực đạo đức cách mạng trong giai đoạn mới, nhất là về cần, kiệm, liêm, chính, chí công vô tư: Tâm huyết, trách nhiệm, mẫn cán, tận tụy với công việc được giao; tiết kiệm, không xa hoa, lãng phí; giữ mình trong sạch, không tham nhũng, tiêu cực, không gây phiền hà, sách nhiễu; trung thực, ngay thẳng, công tâm, khách quan; nghiêm túc, gương mẫu chấp hành quy định của Ðảng, pháp luật của Nhà nước, quy tắc ứng xử, đạo đức công vụ, nghề nghiệp.</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Ðổi mới, hoàn thiện nội dung, hình thức, phương pháp để nâng cao hiệu quả công tác giáo dục cần, kiệm, liêm, chính, chí công vô tư, phù hợp từng đối tượng; bồi dưỡng kiến thức, nâng cao kỹ năng cho lực lượng báo cáo viên, giảng viên, giáo viên giảng dạy.</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Ðưa nội dung đạo đức cách mạng nói chung, nội dung cần, kiệm, liêm, chính, chí công vô tư nói riêng thành một trong những chương trình chính trong đào tạo, bồi dưỡng lý luận chính trị, bồi dưỡng, cập nhật kiến thức cho cán bộ lãnh đạo, quản lý các cấp, chương trình đào tạo, bồi dưỡng cán bộ tại Học viện Chính trị quốc gia Hồ Chí Minh, các học viện, trường học trong quân đội, công an, trường chính trị các địa phương, trường đào tạo, bồi dưỡng cán bộ các cấp…</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Phát huy hơn nữa vai trò của báo chí, truyền thông trong công tác thông tin, tuyên truyền. Tiếp tục rà soát, bổ sung, hoàn thiện quy định của Ðảng, pháp luật của Nhà nước, quy định, quy chế của cơ quan, tổ chức, đơn vị và hương ước, quy ước của cộng đồng dân cư về giáo dục và thực hành cần, kiệm, liêm, chính, chí công vô tư.</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Tăng cường phối hợp giữa các cơ quan, tổ chức trong hệ thống chính trị; giữa Trung ương với địa phương; giữa cấp ủy, tổ chức đảng, chính quyền các cấp với các tổ chức chính trị - xã hội, chính trị - xã hội - nghề nghiệp trong công tác giáo dục và thực hành cần, kiệm, liêm, chính, chí công vô tư.</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Bố trí nguồn lực hợp lý để nâng cao chất lượng, hiệu quả công tác giáo dục và thường xuyên kiểm tra, giám sát, đôn đốc việc lãnh đạo, chỉ đạo và tổ chức thực hiện chủ trương, quy định của Ðảng, pháp luật của Nhà nước về giáo dục cũng như thực hành cần, kiệm, liêm, chính, chí công vô tư… </w:t>
      </w:r>
    </w:p>
    <w:p w:rsidR="001D4E9D" w:rsidRPr="001D4E9D" w:rsidRDefault="001D4E9D" w:rsidP="001D4E9D">
      <w:pPr>
        <w:spacing w:before="120" w:after="0" w:line="240" w:lineRule="auto"/>
        <w:ind w:firstLine="567"/>
        <w:jc w:val="both"/>
        <w:rPr>
          <w:rFonts w:eastAsia="Calibri" w:cs="Times New Roman"/>
          <w:b/>
          <w:szCs w:val="28"/>
        </w:rPr>
      </w:pPr>
      <w:r w:rsidRPr="001D4E9D">
        <w:rPr>
          <w:rFonts w:eastAsia="Calibri" w:cs="Times New Roman"/>
          <w:b/>
          <w:szCs w:val="28"/>
        </w:rPr>
        <w:t>2. Mục tiêu phát triển giáo dục đến năm 2030, tầm nhìn đến năm 2045</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Chiến lược phát triển giáo dục đến năm 2030, tầm nhìn đến năm 2045 được phê duyệt bởi Quyết định số 1705/QĐ-TTg, ngày 31/12/2024 đưa ra các mục tiêu đến năm 2030, giáo dục Việt Nam đạt trình độ tiên tiến của khu vực châu Á và đến năm 2045 đạt trình độ tiên tiến của thế giới, cụ thể như sau: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lastRenderedPageBreak/>
        <w:t xml:space="preserve">Tiếp tục duy trì, củng cố và nâng cao chất lượng phổ cập giáo dục mầm non cho trẻ em 5 tuổi; phấn đấu hoàn thành phổ cập giáo dục mầm non cho trẻ mẫu giáo; tỷ lệ huy động trẻ đến trường đạt 38% trẻ em trong độ tuổi nhà trẻ và 97% trẻ em trong độ tuổi mẫu giáo; phấn đấu có 99,5% trẻ em mầm non đến trường được học 2 buổi/ngày; chất lượng nuôi dưỡng, chăm sóc và giáo dục được nâng cao, đảm bảo trẻ em được phát triển toàn diện về thể chất, tình cảm, trí tuệ, thẩm mỹ, hình thành yếu tố đầu tiên của nhân cách, chuẩn bị vào học lớp 1; 100% giáo viên mầm non đạt chuẩn trình độ chuẩn được đào tạo theo quy định của Luật Giáo dục; phấn đấu tỷ lệ trường mầm non dân lập, tư thục đạt 30%, số trẻ em theo học tại các cơ sở giáo dục mầm non dân lập, tư thục đạt 35%.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Duy trì vững chắc kết quả phổ cập giáo dục tiểu học và trung học cơ sở; 75% </w:t>
      </w:r>
      <w:r w:rsidRPr="001D4E9D">
        <w:rPr>
          <w:rFonts w:eastAsia="Calibri" w:cs="Times New Roman"/>
          <w:spacing w:val="-4"/>
          <w:szCs w:val="28"/>
        </w:rPr>
        <w:t>các tỉnh, thành phố trực thuộc trung ương đạt chuẩn phổ cập giáo dục tiểu học mức độ 3; 40% các tỉnh, thành phố trực thuộc trung ương đạt chuẩn phổ cập giáo dục trung</w:t>
      </w:r>
      <w:r w:rsidRPr="001D4E9D">
        <w:rPr>
          <w:rFonts w:eastAsia="Calibri" w:cs="Times New Roman"/>
          <w:szCs w:val="28"/>
        </w:rPr>
        <w:t xml:space="preserve"> học cơ sở mức độ 3; 60% các tỉnh, thành phố trực thuộc trung ương đạt chuẩn phổ cập giáo dục trung học cơ sở mức độ 2; tỷ lệ hoàn thành cấp tiểu học đạt 99,7%, trung học cơ sở đạt 99% và hoàn thành cấp trung học phổ thông đạt 95%; tỷ lệ chuyển cấp từ tiểu học lên trung học cơ sở đạt 99,5%, từ trung học cơ sở lên trung học phổ thông và các trình độ khác đạt 95%; 100% học sinh tiểu học được học 2 buổi/ngày. Phấn đấu số cơ sở giáo dục phổ thông tư thục đạt 5% và số học sinh theo học tại các cơ sở giáo dục phổ thông tư thục đạt 5,5%; phấn đấu tỷ lệ phòng học kiên cố cấp tiểu học, cấp trung học cơ sở, cấp trung học phổ thông đạt 100%; có 70% trường tiểu học, 75% trường trung học cơ sở và 55% trường trung học phổ thông đạt chuẩn quốc gia.</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Số sinh viên đại học/vạn dân đạt ít nhất là 260, tỷ lệ sinh viên đại học trong nhóm độ tuổi 18 - 22 đạt ít nhất 33%, tỷ lệ sinh viên quốc tế theo học các chương trình giáo dục đại học tại Việt Nam đạt 1,5%; tỷ lệ giảng viên có trình độ tiến sĩ đạt ít nhất 40%. Dịch chuyển cơ cấu trình độ và ngành đào tạo phù hợp với yêu cầu phát triển kinh tế tri thức và hội nhập sâu rộng vào nền kinh tế toàn cầu; tỷ trọng quy mô đào tạo các ngành khoa học, công nghệ, kỹ thuật và toán (STEM) đạt 35%.</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Mở rộng không gian phát triển và nâng cao năng lực cho các cơ sở giáo dục đại học, bảo đảm 100% cơ sở giáo dục đại học đạt chuẩn. Có ít nhất 05 cơ sở giáo dục đại học được xếp hạng trong số 500 trường đại học tốt nhất thế giới, 05 cơ sở giáo dục đại học vào nhóm 200 trường đại học hàng đầu châu Á; Việt Nam nằm trong 4 quốc gia có hệ thống giáo dục đại học tốt nhất khu vực Đông Nam Á và trong 10 quốc gia có hệ thống giáo dục đại học tốt nhất châu Á.</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Phấn đấu tỷ lệ người biết chữ mức độ 1 trong độ tuổi từ 15 - 60 đạt 99,15%; trong đó tỷ lệ người biết chữ mức độ 1 trong độ tuổi từ 15 - 60 ở vùng đặc biệt khó khăn, vùng đồng bào dân tộc thiểu số đạt 98,85%. Có 90% các tỉnh đạt chuẩn xóa mù chữ mức độ 2. Triển khai mô hình thành phố học tập trên toàn quốc; có ít nhất 50% huyện/quận/thị xã/thành phố trực thuộc tỉnh, thành phố trực thuộc trung ương được </w:t>
      </w:r>
      <w:r w:rsidRPr="001D4E9D">
        <w:rPr>
          <w:rFonts w:eastAsia="Calibri" w:cs="Times New Roman"/>
          <w:szCs w:val="28"/>
        </w:rPr>
        <w:lastRenderedPageBreak/>
        <w:t>công nhận danh hiệu huyện/thành phố học tập và 35% các tỉnh, thành phố trực thuộc trung ương được công nhận danh hiệu tỉnh, thành phố học tập. Phấn đấu có 10 đơn vị hành chính tham gia vào Mạng lưới thành phố học tập toàn cầu của UNESCO vào năm 2030.</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Chiến lược đưa ra một số nhiệm vụ, giải pháp trọng tâm, gồm: Hoàn thiện thể chế; đổi mới quản lý giáo dục và quản trị nhà trường; thực hiện công bằng trong tiếp cận giáo dục; phát triển mạng lưới cơ sở giáo dục đáp ứng nhu cầu học tập của người dân; đổi mới nội dung, phương pháp dạy học, kiểm tra và đánh giá chất lượng giáo dục; phát triển đội ngũ nhà giáo và cán bộ quản lý giáo dục; bảo đảm nguồn lực tài chính và cơ sở vật chất cho phát triển giáo dục; đẩy mạnh ứng dụng công nghệ và tăng cường chuyển đổi số trong giáo dục; đẩy mạnh nghiên cứu khoa học và đổi mới sáng tạo trong các cơ sở giáo dục đại học; tăng cường hội nhập quốc tế.</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Có chính sách hỗ trợ trẻ dưới 36 tháng tuổi được vào học ở nhà trẻ, nhất là vùng có điều kiện kinh tế - xã hội đặc biệt khó khăn, khu công nghiệp, khu chế xuất, khu đô thị đông dân cư; tiếp tục hoàn thiện chính sách hỗ trợ cho người học là đối tượng chính sách xã hội, người dân tộc thiểu số ở vùng có điều kiện kinh tế - xã hội đặc biệt khó khăn, trẻ mồ côi, trẻ em không nơi nương tựa, người khuyết tật, người thuộc hộ nghèo và hộ cận nghèo; chính sách tín dụng giáo dục, học bổng, trợ cấp xã hội cho người học; chính sách miễn, giảm học phí và hỗ trợ tiền đóng học phí và chi phí sinh hoạt, tạo cơ hội học tập công bằng cho mọi người.</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Phát triển hệ thống giáo dục theo hướng mở; linh hoạt, đa dạng hoá các mô hình đào tạo, chương trình giáo dục, phương thức học tập, ứng dụng công nghệ, chuyển đổi số trong giáo dục để phù hợp với mọi đối tượng người học. Thực hiện có hiệu quả chương trình giáo dục phổ thông hướng đến phát triển toàn diện phẩm chất và năng lực từng cá nhân người học; đẩy mạnh phương thức giáo dục tích hợp Khoa học, Kỹ thuật, Công nghệ, Toán học (STEM) và nghiên cứu khoa học trong trường phổ thông.</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Tăng cường các nguồn lực đầu tư để nâng cao chất lượng giáo dục đại học, tạo sự chuyển biến mạnh mẽ về chất lượng đào tạo, nghiên cứu khoa học, chuyển giao công nghệ và đổi mới sáng tạo đáp ứng nhu cầu nguồn nhân lực, chú trọng đào tạo nguồn nhân lực các ngành đáp ứng yêu cầu phát triển kinh tế tri thức, kinh tế số, kinh tế xanh, kinh tế tuần hoàn, nhất là các ngành khoa học cơ bản, kỹ thuật, công nghệ và các ngành mới như trí tuệ nhân tạo, khoa học dữ liệu, bán dẫn,... </w:t>
      </w:r>
    </w:p>
    <w:p w:rsidR="001D4E9D" w:rsidRPr="001D4E9D" w:rsidRDefault="001D4E9D" w:rsidP="001D4E9D">
      <w:pPr>
        <w:spacing w:before="120" w:after="0" w:line="240" w:lineRule="auto"/>
        <w:ind w:firstLine="567"/>
        <w:jc w:val="both"/>
        <w:rPr>
          <w:rFonts w:eastAsia="Calibri" w:cs="Times New Roman"/>
          <w:b/>
          <w:szCs w:val="28"/>
        </w:rPr>
      </w:pPr>
      <w:r w:rsidRPr="001D4E9D">
        <w:rPr>
          <w:rFonts w:eastAsia="Calibri" w:cs="Times New Roman"/>
          <w:b/>
          <w:szCs w:val="28"/>
        </w:rPr>
        <w:t xml:space="preserve">3. Xây dựng mô hình thư viện cơ sở phục vụ nhân dân miền núi, biên giới vùng trung du và miền núi phía Bắc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Ngày 30/12/2024, Thủ tướng Chính phủ ban hành Quyết định số 1687/QĐ-TTg phê duyệt Chương trình Xây dựng mô hình thư viện cơ sở phục vụ nhân dân miền núi, biên giới vùng trung du và miền núi phía Bắc giai đoạn 2025 - 2030, tầm nhìn đến năm 2045; được thực hiện trong phạm vi khu vực miền núi, biên giới vùng trung du </w:t>
      </w:r>
      <w:r w:rsidRPr="001D4E9D">
        <w:rPr>
          <w:rFonts w:eastAsia="Calibri" w:cs="Times New Roman"/>
          <w:szCs w:val="28"/>
        </w:rPr>
        <w:lastRenderedPageBreak/>
        <w:t>và miền núi phía Bắc gồm 14 tỉnh: Hà Giang, Tuyên Quang, Cao Bằng, Lào Cai, Bắc Kạn, Lạng Sơn, Yên Bái, Thái Nguyên, Phú Thọ, Bắc Giang, Lai Châu, Điện Biên, Sơn La, Hòa Bình.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Mục tiêu của Chương trình nhằm nghiên cứu, tích hợp phù hợp nguồn tài nguyên thông tin từ thư viện công cộng cấp xã; trung tâm học tập cộng đồng; trung tâm văn hóa/văn hóa - thể thao xã; điểm bưu điện - văn hóa xã; tủ sách pháp luật và sách, tài liệu pháp luật của Đề án trang bị sách cho cơ sở xã, phường, thị trấn và một số cơ sở, loại hình khác nếu phù hợp.</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Chương trình sẽ triển khai thực hiện một số nhiệm vụ, giải pháp sau:</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Rà soát, sắp xếp, thống nhất những nội dung chủ yếu về thẩm quyền, quy trình, thủ tục liên quan đến xây dựng mô hình thư viện cơ sở phù hợp với pháp luật về tổ chức chính quyền địa phương, thư viện và pháp luật khác liên quan, đặc thù trong khu vực. Về quản lý, nhân lực và tài chính theo hướng ủy ban nhân dân cấp xã quản lý và bảo đảm điều kiện hoạt động phù hợp với thực tiễn, khả năng của địa phương và theo quy định của pháp luật; việc bố trí nhân lực, tài chính dựa trên nguồn lực sẵn có của một hoặc một số thư viện cơ sở trong mô hình thư viện cơ sở. Về địa điểm, tại một trong những thư viện cơ sở sẵn có hoặc địa điểm sẵn có và phù hợp. Về chuyên môn, nghiệp vụ, thư viện công cộng cấp tỉnh hướng dẫn, hỗ trợ, chuẩn hóa các hoạt động thư viện, luân chuyển sách, phục vụ lưu động, các hoạt động khuyến đọc, ứng dụng công nghệ thông tin, chuyển đổi số và liên thông, chia sẻ tài nguyên thông tin.</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Đẩy mạnh công tác truyền thông về hoạt động của mô hình thư viện cơ sở gắn với phát triển văn hóa đọc và phục vụ nhu cầu học tập suốt đời của người dân; tổ chức các hoạt động tuyên truyền gắn với các sự kiện hằng năm, như: Tuần lễ hưởng ứng học tập suốt đời, Ngày Sách và Văn hóa đọc Việt Nam, Ngày Sách và Bản quyền thế giới, Ngày Khuyến học Việt Nam và các ngày lễ, ngày kỷ niệm của đất nước và địa phương; đa dạng hóa hình thức truyền thông trên nền tảng công nghệ số, nâng cao nhận thức, tăng cường trách nhiệm của các cấp, các ngành và của người dân tại cơ sở.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Xây dựng các tiêu chí hướng dẫn tổ chức và quản lý hoạt động của mô hình thư viện cơ sở. Chú trọng việc củng cố, kiện toàn, đầu tư, nâng cấp cơ sở vật chất, trang thiết bị; bố trí địa điểm phù hợp, bảo đảm việc bảo quản, phát triển tài nguyên thông tin và thuận tiện trong phục vụ người sử dụng. Từng bước hoàn thiện, phát triển mô hình thư viện cơ sở tiện ích theo hướng hiện đại nhằm đáp ứng nhu cầu học tập suốt đời và phát triển văn hóa đọc của người dân trong giai đoạn mới.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Đổi mới phương thức hoạt động, tăng cường phối hợp giữa thư viện cơ sở với thư viện công cộng cấp tỉnh trong việc hỗ trợ chuyên môn, nghiệp vụ, bồi dưỡng, nâng cao chất lượng nguồn nhân lực, cung cấp các sản phẩm và dịch vụ thư viện trên nền tảng công nghệ số; ưu tiên việc liên kết, chia sẻ trong phát triên tài nguyên thông tin, dịch vụ thông tin và phát huy giá trị di sản văn hóa của dân tộc, đặc biệt là các tài </w:t>
      </w:r>
      <w:r w:rsidRPr="001D4E9D">
        <w:rPr>
          <w:rFonts w:eastAsia="Calibri" w:cs="Times New Roman"/>
          <w:szCs w:val="28"/>
        </w:rPr>
        <w:lastRenderedPageBreak/>
        <w:t>liệu về ngôn ngữ dân tộc giữa các thư viện cơ sở trong khu vực, phục vụ người dân tiếp cận thông tin, hình thành thói quen đọc sách, phát triển năng lực tự học tập, góp phần nâng cao dân trí, cải thiện và nâng cao chất lượng cuộc sống.</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Tổ chức tập huấn, bồi dưỡng kiến thức, nâng cao năng lực cho người làm công tác thư viện cơ sở. Tăng cường phát triển đội ngũ cộng tác viên, huy động nhân lực trong các thiết chế văn hóa khác ở cấp cơ sở, nhân lực của các tổ chức chính trị - xã hội, xã hội - nghề nghiệp, của cộng đồng tham gia hỗ trợ triển khai mô hình thư viện cơ sở. Đẩy mạnh việc vận động, quyên góp, huy động nguồn lực từ các doanh nghiệp, nhà tài trợ, tổ chức, cá nhân trong nước và nước ngoài theo đúng quy định pháp luật; tăng cường sự tham gia của cộng đồng, đặc biệt là đội ngũ trí thức vào xây dựng và tổ chức hiệu quả mô hình thư viện cơ sở.</w:t>
      </w:r>
    </w:p>
    <w:p w:rsidR="001D4E9D" w:rsidRPr="001D4E9D" w:rsidRDefault="001D4E9D" w:rsidP="001D4E9D">
      <w:pPr>
        <w:spacing w:before="120" w:after="0" w:line="240" w:lineRule="auto"/>
        <w:ind w:firstLine="567"/>
        <w:jc w:val="both"/>
        <w:rPr>
          <w:rFonts w:eastAsia="Calibri" w:cs="Times New Roman"/>
          <w:b/>
          <w:szCs w:val="28"/>
        </w:rPr>
      </w:pPr>
      <w:r w:rsidRPr="001D4E9D">
        <w:rPr>
          <w:rFonts w:eastAsia="Calibri" w:cs="Times New Roman"/>
          <w:b/>
          <w:szCs w:val="28"/>
        </w:rPr>
        <w:t xml:space="preserve">4. Một số nhiệm vụ bảo tồn các loài động vật hoang dã nguy cấp, quý, hiếm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Ngày 08/01/2025, Thủ tướng Chính phủ ban hành Chương trình quốc gia về bảo tồn các loài động vật hoang dã nguy cấp, quý, hiếm được ưu tiên bảo vệ đến năm 2030, tầm nhìn đến năm 2050, trong đó đề ra một số nhiệm vụ, giải pháp sau:</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Nhiệm vụ của Chương trình: Điều tra, đánh giá tình trạng và xây dựng cơ sở dữ liệu các loài động vật hoang dã nguy cấp, quý, hiếm được ưu tiên bảo vệ; mở rộng và nâng cao hiệu quả biện pháp bảo tồn tại chỗ các loài động vật hoang dã nguy cấp, quý, hiếm được ưu tiên bảo vệ; thực hiện bảo tồn chuyển chỗ đối với loài động vật hoang dã nguy cấp, quý, hiếm được ưu tiên bảo vệ; nâng cao hiệu quả thực thi pháp luật và kiểm soát các hoạt động ảnh hưởng tiêu cực tới loài động vật hoang dã nguy cấp, quý, hiếm được ưu tiên bảo vệ.</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Giải pháp thực hiện Chương trình: Hoàn thiện chính sách, pháp luật về bảo tồn loài động vật hoang dã nguy cấp, quý, hiếm được ưu tiên bảo vệ; tăng cường năng lực về bảo tồn loài động vật hoang dã nguy cấp, quý, hiếm được ưu tiên bảo vệ; truyền thông, nâng cao nhận thức về bảo tồn loài động vật hoang dã nguy cấp, quý, hiếm được ưu tiên bảo vệ; tăng cường nghiên cứu khoa học, chuyển giao và phát triển công nghệ về bảo tồn loài động vật hoang dã nguy cấp, quý, hiếm được ưu tiên bảo vệ; huy động nguồn lực và sự tham gia của toàn xã hội về bảo tồn loài động vật hoang dã nguy cấp, quý, hiếm được ưu tiên bảo vệ; tăng cường hợp tác quốc tế về bảo tồn loài động vật hoang dã nguy cấp, quý, hiếm được ưu tiên bảo vệ.</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Chương trình sẽ ưu tiên thực hiện một số dự án, nhiệm vụ: Điều tra, đánh giá tình trạng và xây dựng cơ sở dữ liệu về các loài động vật hoang dã nguy cấp, quý, hiếm được ưu tiên bảo vệ; xây dựng và triển khai mô hình thí điểm bảo tồn tại chỗ các loài động vật hoang dã nguy cấp, quý, hiếm được ưu tiên bảo vệ; xây dựng và triển khai mô hình thí điểm nhân nuôi, tái thả phục hồi quần thể các loài động vật hoang dã nguy cấp, quý, hiếm được ưu tiên bảo vệ bị đe dọa tuyệt chủng; xây dựng các kế </w:t>
      </w:r>
      <w:r w:rsidRPr="001D4E9D">
        <w:rPr>
          <w:rFonts w:eastAsia="Calibri" w:cs="Times New Roman"/>
          <w:szCs w:val="28"/>
        </w:rPr>
        <w:lastRenderedPageBreak/>
        <w:t>hoạch hành động khẩn cấp để bảo tồn các loài động vật hoang dã nguy cấp, quý, hiếm được ưu tiên bảo vệ có nguy cơ tuyệt chủng cao.</w:t>
      </w:r>
    </w:p>
    <w:p w:rsidR="001D4E9D" w:rsidRPr="001D4E9D" w:rsidRDefault="001D4E9D" w:rsidP="001D4E9D">
      <w:pPr>
        <w:spacing w:before="120" w:after="0" w:line="240" w:lineRule="auto"/>
        <w:ind w:firstLine="567"/>
        <w:jc w:val="both"/>
        <w:rPr>
          <w:rFonts w:eastAsia="Calibri" w:cs="Times New Roman"/>
          <w:b/>
          <w:szCs w:val="28"/>
        </w:rPr>
      </w:pPr>
      <w:r w:rsidRPr="001D4E9D">
        <w:rPr>
          <w:rFonts w:eastAsia="Calibri" w:cs="Times New Roman"/>
          <w:b/>
          <w:szCs w:val="28"/>
        </w:rPr>
        <w:t>5. Thực hiện Khuyến nghị của Ủy ban về quyền trẻ em của Liên hợp quốc</w:t>
      </w:r>
    </w:p>
    <w:p w:rsidR="001D4E9D" w:rsidRPr="001D4E9D" w:rsidRDefault="001D4E9D" w:rsidP="001D4E9D">
      <w:pPr>
        <w:spacing w:before="120" w:after="0" w:line="240" w:lineRule="auto"/>
        <w:ind w:firstLine="567"/>
        <w:jc w:val="both"/>
        <w:rPr>
          <w:rFonts w:eastAsia="Calibri" w:cs="Times New Roman"/>
          <w:spacing w:val="-2"/>
          <w:szCs w:val="28"/>
        </w:rPr>
      </w:pPr>
      <w:r w:rsidRPr="001D4E9D">
        <w:rPr>
          <w:rFonts w:eastAsia="Calibri" w:cs="Times New Roman"/>
          <w:spacing w:val="-2"/>
          <w:szCs w:val="28"/>
        </w:rPr>
        <w:t>Kế hoạch thực hiện Khuyến nghị của Ủy ban về quyền trẻ em của Liên hợp quốc được ban hành bởi Quyết định số 27/QĐ-TTg, ngày 03/01/2025 nhằm giúp các bộ, ngành, cơ quan trung ương và địa phương xác định rõ trách nhiệm thực hiện các Khuyến nghị của Ủy ban về quyền trẻ em của Liên hợp quốc (Ủy ban); tăng cường phối hợp giữa các cơ quan liên quan nhằm thực hiện quyền trẻ em một cách đồng bộ, toàn diện, có hiệu quả, bảo đảm lợi ích tốt nhất cho trẻ em.Các bộ, ngành, cơ quan trung ương và địa phương rà soát, xây dựng kế hoạch thực hiện Khuyến nghị trên cơ sở chức năng, nhiệm vụ của cơ quan chủ trì, phối hợp; lồng ghép hiệu quả với việc thực hiện các chương trình, kế hoạch, đề án, chính sách về trẻ em; xác định trách nhiệm cụ thể, lộ trình thực hiện Khuyến nghị phù hợp với chức năng, nhiệm vụ, quyền hạn và tình hình của bộ, ngành, cơ quan trung ương và địa phương; thường xuyên kiểm tra, đánh giá định kỳ việc thực hiện quyền trẻ em và thực hiện Khuyến nghị.</w:t>
      </w:r>
    </w:p>
    <w:p w:rsidR="001D4E9D" w:rsidRPr="001D4E9D" w:rsidRDefault="001D4E9D" w:rsidP="001D4E9D">
      <w:pPr>
        <w:widowControl w:val="0"/>
        <w:spacing w:before="120" w:after="0" w:line="240" w:lineRule="auto"/>
        <w:ind w:firstLine="567"/>
        <w:jc w:val="both"/>
        <w:rPr>
          <w:rFonts w:eastAsia="Calibri" w:cs="Times New Roman"/>
          <w:spacing w:val="-2"/>
          <w:szCs w:val="28"/>
        </w:rPr>
      </w:pPr>
      <w:r w:rsidRPr="001D4E9D">
        <w:rPr>
          <w:rFonts w:eastAsia="Calibri" w:cs="Times New Roman"/>
          <w:spacing w:val="-2"/>
          <w:szCs w:val="28"/>
        </w:rPr>
        <w:t>Tiếp tục nghiên cứu, rà soát, xây dựng, hoàn thiện hệ thống pháp luật, chính sách để thúc đẩy việc thực hiện quyền trẻ em phù hợp với Công ước của Liên hợp quốc về quyền trẻ em và các Công ước, Điều ước quốc tế liên quan đến trẻ em mà Việt Nam là thành viên; đẩy mạnh công tác truyền thông, giáo dục, vận động xã hội nhằm nâng cao nhận thức, trách nhiệm, kiến thức và kỹ năng thực hiện quyền trẻ em; nâng cao năng lực chuyên môn, nghiệp vụ cho đội ngũ cán bộ, người làm công tác bảo vệ trẻ em và liên quan đến công tác trẻ em ở các cấp, các ngành; đẩy mạnh công tác phối hợp liên ngành, triển khai các hoạt động, mô hình về chăm sóc, giáo dục và bảo vệ trẻ em; phát triển hệ thống dịch vụ bảo đảm thực hiện quyền trẻ em và giải quyết các vấn đề về trẻ em; kiểm tra, thanh tra việc thực hiện quyền trẻ em và các vấn đề liên quan đến trẻ em, xây dựng, nâng cao chất lượng cơ sở dữ liệu về trẻ em liên thông với cơ sở dữ liệu quốc gia về dân cư, cơ sở dữ liệu chuyên ngành; ưu tiên bố trí kinh phí thực hiện quyền trẻ em và giải quyết các vấn đề về trẻ em phù hợp với tình hình thực tế và khả năng cân đối ngân sách nhà nước theo quy định; tăng cường hợp tác quốc tế để bảo đảm thực hiện quyền trẻ em phù hợp với các chuẩn mực, thông lệ quốc tế.</w:t>
      </w:r>
    </w:p>
    <w:p w:rsidR="001D4E9D" w:rsidRPr="001D4E9D" w:rsidRDefault="001D4E9D" w:rsidP="001D4E9D">
      <w:pPr>
        <w:widowControl w:val="0"/>
        <w:spacing w:before="120" w:after="0" w:line="240" w:lineRule="auto"/>
        <w:ind w:firstLine="567"/>
        <w:jc w:val="both"/>
        <w:rPr>
          <w:rFonts w:eastAsia="Calibri" w:cs="Times New Roman"/>
          <w:szCs w:val="28"/>
        </w:rPr>
      </w:pPr>
      <w:r w:rsidRPr="001D4E9D">
        <w:rPr>
          <w:rFonts w:eastAsia="Calibri" w:cs="Times New Roman"/>
          <w:szCs w:val="28"/>
        </w:rPr>
        <w:t xml:space="preserve">Các bộ, cơ quan ngang bộ, cơ quan thuộc Chính phủ, UBND các tỉnh, thành phố trực thuộc trung ương căn cứ nhiệm vụ, giải pháp của Kế hoạch để xây dựng kế hoạch, thời gian, lộ trình tổ chức thực hiện bảo đảm kịp thời, hiệu quả. Chủ động bố trí nguồn lực thực hiện các mục tiêu, chỉ tiêu, nhiệm vụ, giải pháp bảo đảm thực hiện quyền trẻ em, giải quyết các vấn đề trẻ em thuộc trách nhiệm và thẩm quyền; đồng thời lồng ghép, tích hợp hiệu quả nhiệm vụ thực hiện Khuyến nghị trong việc thực hiện các chương trình mục tiêu quốc gia và chương trình, đề án, kế hoạch đã được phê duyệt có liên quan; tập trung chỉ đạo, tăng cường đôn đốc, kiểm tra việc thực hiện Kế hoạch, báo cáo kết quả thực hiện gửi về Bộ Lao động - Thương binh và Xã hội để </w:t>
      </w:r>
      <w:r w:rsidRPr="001D4E9D">
        <w:rPr>
          <w:rFonts w:eastAsia="Calibri" w:cs="Times New Roman"/>
          <w:szCs w:val="28"/>
        </w:rPr>
        <w:lastRenderedPageBreak/>
        <w:t>tổng hợp báo cáo.</w:t>
      </w:r>
    </w:p>
    <w:p w:rsidR="001D4E9D" w:rsidRPr="001D4E9D" w:rsidRDefault="001D4E9D" w:rsidP="001D4E9D">
      <w:pPr>
        <w:spacing w:before="120" w:after="0" w:line="240" w:lineRule="auto"/>
        <w:ind w:firstLine="567"/>
        <w:jc w:val="both"/>
        <w:rPr>
          <w:rFonts w:eastAsia="Calibri" w:cs="Times New Roman"/>
          <w:b/>
          <w:szCs w:val="28"/>
        </w:rPr>
      </w:pPr>
      <w:r w:rsidRPr="001D4E9D">
        <w:rPr>
          <w:rFonts w:eastAsia="Calibri" w:cs="Times New Roman"/>
          <w:b/>
          <w:szCs w:val="28"/>
        </w:rPr>
        <w:t>6. Tăng cường giáo dục kiến thức, kỹ năng phòng, chống đuối nước cho học sinh</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Chương trình Tăng cường giáo dục kiến thức, kỹ năng phòng, chống đuối nước cho học sinh giai đoạn 2025 - 2035 được phê duyệt bởi Quyết định số 1717/QĐ-TTg, ngày 31/12/2024 nhằm tăng cường giáo dục kiến thức, kỹ năng phòng, chống đuối nước cho học sinh nhằm nâng cao năng lực tự phòng ngừa, tự bảo vệ của học sinh trước nguy cơ bị đuối nước; bảo đảm điều kiện và tổ chức hiệu quả việc dạy bơi an toàn cho học sinh để tăng tỷ lệ học sinh biết bơi và biết kỹ năng phòng, chống đuối nước, góp phần làm giảm tỷ lệ học sinh bị đuối nước.</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Phấn đấu đến năm 2030, 95% cán bộ quản lý, giáo viên, học sinh, cha mẹ học sinh và các cá nhân liên quan được truyền thông nâng cao nhận thức, kiến thức, trách nhiệm về phòng, chống đuối nước học sinh và đạt tỷ lệ 100% vào năm 2035. Đến năm 2030, 70% học sinh được dạy kiến thức và thực hành kỹ năng phòng, chống đuối nước và đạt tỷ lệ 90% vào năm 2035. Đến năm 2035, tối thiểu 30% trường tiểu học có bể bơi Đến năm 2035, tối thiểu 30% trường tiểu học, 25% trường trung học cơ sở, trung học phổ thông có bể bơi (cố định hoặc di động) và duy trì hoạt động hiệu quả. 70% xã/phường/thị trấn có ít nhất một bể bơi để phục vụ việc dạy bơi an toàn cho trẻ em, học sinh trên địa bàn. Đến năm 2030, mỗi trường có ít nhất 02 giáo viên được bồi dưỡng, cấp chứng nhận và có đầy đủ năng lực để tổ chức dạy bơi an toàn cho học sinh và đạt ít nhất 03 giáo viên vào năm 2035.</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Một số nhiệm vụ, giải pháp trọng tâm: Tổ chức truyền thông nâng cao nhận thức và trách nhiệm về phòng, chống đuối nước học sinh; giáo dục kiến thức, kỹ năng phòng, chống đuối nước và dạy bơi an toàn cho học sinh; rà soát, hoàn thiện cơ chế, chính sách cho việc tổ chức dạy bơi an toàn trong trường học; đầu tư cơ sở vật chất, bể bơi và kinh phí chi thường xuyên cho các nhà trường; bồi dưỡng, nâng cao năng lực cho đội ngũ cán bộ quản lý, giáo viên và người làm công tác y tế trường học; tăng cường phối hợp liên ngành giữa nhà trường với các tổ chức, cá nhân liên quan; xây dựng hệ thống giám sát, đánh giá.</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Bộ Giáo dục và Đào tạo là cơ quan thường trực, xây dựng kế hoạch, tổ chức triển khai thực hiện Chương trình; chủ trì, phối hợp với các bộ, ngành, địa phương tổ chức triển khai thực hiện các nhiệm vụ, giải pháp: rà soát, xây dựng, sửa đổi, bổ sung và ban hành theo thẩm quyền hoặc trình cấp có thẩm quyền ban hành các cơ chế, chính sách cần thiết liên quan đến nhiệm vụ tổ chức giáo dục kiến thức, kỹ năng phòng, chống đuối nước, dạy bơi an toàn cho học sinh; ban hành chương trình, tài liệu, hướng dẫn kiểm tra, đánh giá việc tổ chức dạy bơi an toàn cho học sinh; xây dựng tài liệu và hướng dẫn thực hiện các hoạt động truyền thông phòng, chống đuối nước học sinh trong trường học...; xây dựng công cụ và tổ chức kiểm tra, giám sát, </w:t>
      </w:r>
      <w:r w:rsidRPr="001D4E9D">
        <w:rPr>
          <w:rFonts w:eastAsia="Calibri" w:cs="Times New Roman"/>
          <w:szCs w:val="28"/>
        </w:rPr>
        <w:lastRenderedPageBreak/>
        <w:t>đánh giá việc triển khai thực hiện Chương trình; đề xuất điều chỉnh, bổ sung nội dung Chương trình nếu cần thiết; tổ chức sơ kết Chương trình vào năm 2030 và tổng kết Chương trình vào năm 2035.</w:t>
      </w:r>
    </w:p>
    <w:p w:rsidR="001D4E9D" w:rsidRPr="001D4E9D" w:rsidRDefault="001D4E9D" w:rsidP="001D4E9D">
      <w:pPr>
        <w:spacing w:before="120" w:after="0" w:line="240" w:lineRule="auto"/>
        <w:ind w:firstLine="567"/>
        <w:jc w:val="both"/>
        <w:rPr>
          <w:rFonts w:eastAsia="Calibri" w:cs="Times New Roman"/>
          <w:b/>
          <w:szCs w:val="28"/>
        </w:rPr>
      </w:pPr>
      <w:r w:rsidRPr="001D4E9D">
        <w:rPr>
          <w:rFonts w:eastAsia="Calibri" w:cs="Times New Roman"/>
          <w:b/>
          <w:szCs w:val="28"/>
        </w:rPr>
        <w:t xml:space="preserve">7. Thực hiện Quy hoạch hệ thống đô thị và nông thôn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Kế hoạch thực hiện Quy hoạch hệ thống đô thị và nông thôn thời kỳ 2021 - 2030, tầm nhìn đến năm 2050. Quyết định số 28/QĐ-TTg, ngày 05/01/2025 nhằm triển khai thực hiện Quy hoạch hệ thống đô thị và nông thôn thời kỳ 2021 - 2030, tầm </w:t>
      </w:r>
      <w:r w:rsidRPr="001D4E9D">
        <w:rPr>
          <w:rFonts w:eastAsia="Calibri" w:cs="Times New Roman"/>
          <w:spacing w:val="-6"/>
          <w:szCs w:val="28"/>
        </w:rPr>
        <w:t>nhìn đến năm 2050 được Thủ tướng Chính phủ phê duyệt tại Quyết định số 891/QĐ-TTg, ngày 22/8/2024 bảo đảm hiệu lực, hiệu quả; cụ thể hóa các nhiệm vụ, chính</w:t>
      </w:r>
      <w:r w:rsidRPr="001D4E9D">
        <w:rPr>
          <w:rFonts w:eastAsia="Calibri" w:cs="Times New Roman"/>
          <w:szCs w:val="28"/>
        </w:rPr>
        <w:t xml:space="preserve"> sách, giải pháp trong việc tổ chức triển khai thực hiện Quy hoạch hệ thống đô thị và nông thôn, đảm bảo với mục tiêu, nhiệm vụ, nội dung của Quy hoạch hệ thống đô thị và nông thôn đã được Thủ tướng Chính phủ phê duyệt; phân công trách nhiệm cụ thể đối với các bộ, ngành và địa phương theo chức năng nhiệm vụ để thực hiện hiệu quả Quy hoạch hệ thống đô thị và nông thôn.</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Theo Kế hoạch, việc đầu tư các dự án quan trọng quốc gia được thực hiện theo danh mục các dự án quan trọng quốc gia đã được phê duyệt tại Quy hoạch tổng thể quốc gia thời kỳ 2021 - 2030, tầm nhìn đến năm 2050 và Chương trình hành động của Chính phủ triển khai thực hiện Nghị quyết số 81/2023/QH15, ngày 09/01/2023 của Quốc hội về Quy hoạch tổng thể quốc gia thời kỳ 2021 - 2030, tầm nhìn đến năm 2050 và Kế hoạch thực hiện Quy hoạch tổng thể quốc gia thời kỳ 2021 - 2030, tầm nhìn đến năm 2050 được ban hành tại Nghị quyết số 90/NQ-CP, ngày 16/6/2023 của Chính phủ. Các dự án đầu tư phát triển hệ thống hạ tầng kỹ thuật cấp vùng, liên vùng, dự án nâng cấp, phát triển đô thị, nông thôn và các khu chức năng của từng vùng sử dụng nguồn vốn đầu tư công được thực hiện theo Kế hoạch thực hiện quy hoạch vùng đã được Thủ tướng Chính phủ phê duyệt.</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Các tỉnh, thành phố trực thuộc trung ương triển khai đồng bộ, có hiệu quả các chương trình, dự án đã được xác định trong quy hoạch tỉnh và theo Kế hoạch thực hiện quy hoạch tỉnh đã được Thủ tướng Chính phủ phê duyệt. Tiếp tục triển khai các dự án phát triển đô thị, dự án phát triển hạ tầng kỹ thuật đô thị, các dự án phát triển đô thị ứng phó biến đổi khí hậu, phát triển đô thị thông minh, chuyển đổi số, chuyển đổi xanh, phát triển đô thị giảm phát thải, các chương trình, đề án phát triển đảm bảo an sinh nhà ở và các dự án phát triển nông thôn theo chương trình mục tiêu quốc gia xây dựng nông thôn mới đã được cấp có thẩm quyền phê duyệt.</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Đối với Dự án sử dụng các nguồn vốn khác ngoài vốn đầu tư công, các tỉnh, thành phố trực thuộc trung ương căn cứ định hướng ưu tiên phát triển hệ thống đô thị và nông thôn đã được Thủ tướng Chính phủ phê duyệt tại các quy hoạch cấp quốc gia, quy hoạch vùng, quy hoạch tỉnh để tổ chức thu hút các nguồn vốn khác ngoài vốn đầu </w:t>
      </w:r>
      <w:r w:rsidRPr="001D4E9D">
        <w:rPr>
          <w:rFonts w:eastAsia="Calibri" w:cs="Times New Roman"/>
          <w:szCs w:val="28"/>
        </w:rPr>
        <w:lastRenderedPageBreak/>
        <w:t>tư công, đầu tư phát triển hệ thống đô thị, nông thôn theo các quy hoạch, kế hoạch đảm bảo hiệu quả và đúng quy định. </w:t>
      </w:r>
    </w:p>
    <w:p w:rsidR="001D4E9D" w:rsidRPr="001D4E9D" w:rsidRDefault="001D4E9D" w:rsidP="001D4E9D">
      <w:pPr>
        <w:widowControl w:val="0"/>
        <w:spacing w:before="120" w:after="0" w:line="240" w:lineRule="auto"/>
        <w:ind w:firstLine="567"/>
        <w:jc w:val="both"/>
        <w:rPr>
          <w:rFonts w:eastAsia="Calibri" w:cs="Times New Roman"/>
          <w:szCs w:val="28"/>
        </w:rPr>
      </w:pPr>
      <w:r w:rsidRPr="001D4E9D">
        <w:rPr>
          <w:rFonts w:eastAsia="Calibri" w:cs="Times New Roman"/>
          <w:szCs w:val="28"/>
        </w:rPr>
        <w:t>Các bộ, ngành, địa phương liên quan xây dựng các cơ chế chính sách, văn bản quy phạm pháp luật: Luật Quy hoạch đô thị và nông thôn và các văn bản dưới Luật quy định chi tiết; Luật Quản lý phát triển đô thị và các văn bản dưới Luật quy định chi tiết; Luật Cấp, thoát nước và các văn bản dưới Luật quy định chi tiết; các bộ, ngành, địa phương liên quan xây dựng các đề án, chương trình trình Thủ tướng Chính phủ gồm: Chương trình quốc gia về xây dựng, cải tạo, chỉnh trang, tái thiết đô thị và phát triển đô thị, phát triển kết cấu hạ tầng đô thị; sửa đổi, bổ sung Quyết định của Thủ tướng Chính phủ về Kế hoạch phân loại đô thị toàn quốc...</w:t>
      </w:r>
    </w:p>
    <w:p w:rsidR="001D4E9D" w:rsidRPr="001D4E9D" w:rsidRDefault="001D4E9D" w:rsidP="001D4E9D">
      <w:pPr>
        <w:widowControl w:val="0"/>
        <w:spacing w:before="120" w:after="0" w:line="240" w:lineRule="auto"/>
        <w:ind w:firstLine="567"/>
        <w:jc w:val="both"/>
        <w:rPr>
          <w:rFonts w:eastAsia="Calibri" w:cs="Times New Roman"/>
          <w:b/>
          <w:szCs w:val="28"/>
        </w:rPr>
      </w:pPr>
      <w:r w:rsidRPr="001D4E9D">
        <w:rPr>
          <w:rFonts w:eastAsia="Calibri" w:cs="Times New Roman"/>
          <w:b/>
          <w:szCs w:val="28"/>
        </w:rPr>
        <w:t xml:space="preserve">8. Tăng cường kiểm soát và xử lý ô nhiễm môi trường nước </w:t>
      </w:r>
    </w:p>
    <w:p w:rsidR="001D4E9D" w:rsidRPr="001D4E9D" w:rsidRDefault="001D4E9D" w:rsidP="001D4E9D">
      <w:pPr>
        <w:widowControl w:val="0"/>
        <w:spacing w:before="120" w:after="0" w:line="240" w:lineRule="auto"/>
        <w:ind w:firstLine="567"/>
        <w:jc w:val="both"/>
        <w:rPr>
          <w:rFonts w:eastAsia="Calibri" w:cs="Times New Roman"/>
          <w:szCs w:val="28"/>
        </w:rPr>
      </w:pPr>
      <w:r w:rsidRPr="001D4E9D">
        <w:rPr>
          <w:rFonts w:eastAsia="Calibri" w:cs="Times New Roman"/>
          <w:szCs w:val="28"/>
        </w:rPr>
        <w:t xml:space="preserve">Ngày 24/01/2025, Thủ tướng Chính phủ ban hành Chỉ thị số 02/CT-TTg nhằm tăng cường hiệu quả công tác kiểm soát, xử lý tình trạng ô nhiễm môi trường nước các lưu vực sông, thực thi hiệu quả các quy định của pháp luật về bảo vệ môi trường, tiến tới giảm thiểu và xử lý dứt điểm tình trạng ô nhiễm nước tại một số điểm nóng trên các lưu vực sông, trong đó yêu cầu các bộ, ngành, địa phương triển khai thực hiện một số nhiệm vụ, giải pháp sau: </w:t>
      </w:r>
    </w:p>
    <w:p w:rsidR="001D4E9D" w:rsidRPr="001D4E9D" w:rsidRDefault="001D4E9D" w:rsidP="001D4E9D">
      <w:pPr>
        <w:widowControl w:val="0"/>
        <w:spacing w:before="120" w:after="0" w:line="240" w:lineRule="auto"/>
        <w:ind w:firstLine="567"/>
        <w:jc w:val="both"/>
        <w:rPr>
          <w:rFonts w:eastAsia="Calibri" w:cs="Times New Roman"/>
          <w:szCs w:val="28"/>
        </w:rPr>
      </w:pPr>
      <w:r w:rsidRPr="001D4E9D">
        <w:rPr>
          <w:rFonts w:eastAsia="Calibri" w:cs="Times New Roman"/>
          <w:szCs w:val="28"/>
        </w:rPr>
        <w:t xml:space="preserve">UBND các tỉnh, thành phố trực thuộc trung ương trên địa bàn các lưu vực sông khẩn trương thống kê và phân loại các nguồn thải trên địa bàn có tác động đến chất lượng nước các lưu vực sông, lập danh mục (theo loại hình và quy mô xả thải) để kiểm soát chặt chẽ. Xây dựng kế hoạch và tổ chức thực hiện quy hoạch cấp tỉnh đã được Thủ tướng Chính phủ phê duyệt, đầu tư đồng bộ công trình hạ tầng về bảo vệ môi trường cho các khu đô thị, khu dân cư tập trung, làng nghề, cụm công nghiệp; bố trí quỹ đất và triển khai các thủ tục đầu tư, nâng cấp hạ tầng bảo vệ môi trường theo quy hoạch được phê duyệt; ban hành đơn giá dịch vụ xử lý nước thải; đầu tư kinh phí, hoàn thành đúng tiến độ các dự án, nhiệm vụ bảo vệ môi trường lưu vực sông đã được phê duyệt. </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Tổ chức thanh tra, kiểm tra chuyên đề về chấp hành pháp luật về bảo vệ môi trường đối với các cơ sở do Bộ Tài nguyên và Môi trường cấp phép môi trường và xử lý vi phạm theo quy định; tổng hợp kết quả công tác thanh tra, kiểm tra trên các lưu vực sông. Rà soát mạng lưới các điểm quan trắc, bổ sung các điểm, trạm quan trắc (bao gồm cả tự động, liên tục) tại vị trí đặc biệt ô nhiễm; trường hợp mực nước thấp, dòng chảy lưu thông kém, thông báo kịp thời cho cơ quan, đơn vị liên quan để điều tiết hoạt động bổ cập nước, tạo nguồn nhằm tăng khả năng tự làm sạch của sông...</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 xml:space="preserve">Bộ Xây dựng chủ trì, phối hợp với Bộ Tài nguyên và Môi trường, Bộ Kế hoạch và Đầu tư và các địa phương trên các lưu vực sông rà soát hạ tầng thu gom và xử lý nước thải tại toàn bộ các đô thị từ loại V trở lên, đề xuất phương án, giải pháp thúc đẩy các dự án đầu tư xây dựng nhà máy thu gom, xử lý NTSH tập trung, rà soát đơn </w:t>
      </w:r>
      <w:r w:rsidRPr="001D4E9D">
        <w:rPr>
          <w:rFonts w:eastAsia="Calibri" w:cs="Times New Roman"/>
          <w:szCs w:val="28"/>
        </w:rPr>
        <w:lastRenderedPageBreak/>
        <w:t>giá, định mức, đề xuất cơ chế tài chính đối với dịch vụ thu gom, xử lý nước thải nhằm thu hút doanh nghiệp vào đầu tư, vận hành hệ thống xử lý nước thải.</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Bộ Nông nghiệp và Phát triển nông thôn chỉ đạo đánh giá mức độ tác động từ các hoạt động sản xuất nông nghiệp đến môi trường nước tại các lưu vực sông trên, báo cáo Thủ tướng Chính phủ lần thứ nhất trước ngày 30 tháng 6 năm 2025 và cập nhật thông tin hàng năm; đề xuất giải pháp tuần hoàn, sử dụng hợp lý tài nguyên nước (bao gồm cả các loại nước thải) trong hoạt động sản xuất nông nghiệp. Chỉ đạo hoàn thiện và thực hiện quy chế tiếp nhận thông tin để vận hành quy trình điều tiết, bổ cập nước (thông qua hệ thống các trạm bơm, trạm bơm dã chiến) cho các dòng chảy (đặc biệt vào mùa khô) thuộc các lưu vực sông; chỉ đạo xây dựng, điều chỉnh quy trình vận hành hệ thống công trình thủy lợi Bắc Hưng Hải, trong đó, bổ sung yêu cầu đối với việc duy trì dòng chảy tối thiểu liên tục trong hệ thống.</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Bộ Công an tổ chức các hoạt động điều tra, phát hiện và xử lý nghiêm các hành vi vi phạm pháp luật về bảo vệ môi trường đối với việc xả nước thải, chất thải rắn gây ô nhiễm nguồn nước các lưu vực sông trên; phối hợp chặt chẽ với Bộ Tài nguyên và Môi trường để xử lý nghiêm và công khai một số trường hợp điển hình cố tình chây ỳ, không chấp hành pháp luật về bảo vệ môi trường, tạo hiệu ứng răn đe trong cộng đồng doanh nghiệp; xem xét xử lý hình sự đối với các hành vi cố tình xả thải gây ô nhiễm môi trường nghiêm trọng.</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Bộ Tài chính, Bộ Kế hoạch và Đầu tư theo thẩm quyền rà soát các cơ chế, chính sách hiện hành về thu hút đầu tư, xã hội hóa các hoạt động trong lĩnh vực môi trường, trong đó bao gồm thu hút đầu tư, xã hội hóa đầu tư hệ thống thu gom, xử lý NTSH tập trung, phi tập trung, kịp thời đề xuất sửa đổi, bổ sung, ban hành mới để phù hợp với yêu cầu của thực tiễn, báo cáo Thủ tướng Chính phủ trước ngày 30 tháng 6 năm 2025; đề xuất phân bổ nguồn lực từ ngân sách nhà nước và các nguồn đầu tư khác (nguồn chương trình mục tiêu quốc gia, nguồn dự án hỗ trợ phát triển chính thức (ODA)...) ưu tiên cho xây dựng hạ tầng thu gom, xử lý NTSH tập trung tại các đô thị loại V trở lên theo quy định của Luật Đầu tư công.</w:t>
      </w:r>
    </w:p>
    <w:p w:rsidR="001D4E9D" w:rsidRPr="001D4E9D" w:rsidRDefault="001D4E9D" w:rsidP="001D4E9D">
      <w:pPr>
        <w:spacing w:before="120" w:after="0" w:line="240" w:lineRule="auto"/>
        <w:ind w:firstLine="567"/>
        <w:jc w:val="both"/>
        <w:rPr>
          <w:rFonts w:eastAsia="Calibri" w:cs="Times New Roman"/>
          <w:szCs w:val="28"/>
        </w:rPr>
      </w:pPr>
      <w:r w:rsidRPr="001D4E9D">
        <w:rPr>
          <w:rFonts w:eastAsia="Calibri" w:cs="Times New Roman"/>
          <w:szCs w:val="28"/>
        </w:rPr>
        <w:t>Bộ Tài chính nghiên cứu và rà soát phí bảo vệ môi trường đối với nước thải nhằm nâng cao trách nhiệm của đối tượng gây ô nhiễm, tạo nguồn thu vào ngân sách nhà nước để sử dụng cho các hoạt động khắc phục tình trạng ô nhiễm tại các lưu vực sông theo quy định của pháp luật về ngân sách nhà nước…</w:t>
      </w:r>
    </w:p>
    <w:p w:rsidR="001D4E9D" w:rsidRPr="001D4E9D" w:rsidRDefault="001D4E9D" w:rsidP="001D4E9D">
      <w:pPr>
        <w:spacing w:before="120" w:after="0" w:line="240" w:lineRule="auto"/>
        <w:ind w:firstLine="567"/>
        <w:jc w:val="both"/>
        <w:rPr>
          <w:rFonts w:eastAsia="Calibri" w:cs="Times New Roman"/>
          <w:szCs w:val="28"/>
        </w:rPr>
      </w:pPr>
    </w:p>
    <w:p w:rsidR="001D4E9D" w:rsidRPr="001D4E9D" w:rsidRDefault="001D4E9D" w:rsidP="001D4E9D">
      <w:pPr>
        <w:widowControl w:val="0"/>
        <w:spacing w:before="120" w:after="0" w:line="240" w:lineRule="auto"/>
        <w:ind w:firstLine="567"/>
        <w:jc w:val="both"/>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18415</wp:posOffset>
                </wp:positionV>
                <wp:extent cx="3333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2pt,1.45pt" to="35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" strokecolor="#4579b8 [3044]"/>
            </w:pict>
          </mc:Fallback>
        </mc:AlternateContent>
      </w:r>
    </w:p>
    <w:p w:rsidR="001D4E9D" w:rsidRPr="001D4E9D" w:rsidRDefault="001D4E9D" w:rsidP="001D4E9D">
      <w:pPr>
        <w:widowControl w:val="0"/>
        <w:spacing w:before="120" w:after="0" w:line="240" w:lineRule="auto"/>
        <w:ind w:firstLine="567"/>
        <w:jc w:val="both"/>
        <w:rPr>
          <w:rFonts w:eastAsia="Times New Roman" w:cs="Times New Roman"/>
          <w:b/>
          <w:szCs w:val="28"/>
        </w:rPr>
      </w:pPr>
    </w:p>
    <w:p w:rsidR="001D4E9D" w:rsidRPr="001D4E9D" w:rsidRDefault="001D4E9D" w:rsidP="001D4E9D">
      <w:pPr>
        <w:widowControl w:val="0"/>
        <w:spacing w:before="120" w:after="0" w:line="240" w:lineRule="auto"/>
        <w:ind w:firstLine="567"/>
        <w:jc w:val="both"/>
        <w:rPr>
          <w:rFonts w:eastAsia="Times New Roman" w:cs="Times New Roman"/>
          <w:b/>
          <w:szCs w:val="28"/>
        </w:rPr>
      </w:pPr>
    </w:p>
    <w:p w:rsidR="000F3920" w:rsidRDefault="000F3920"/>
    <w:sectPr w:rsidR="000F3920">
      <w:footerReference w:type="default" r:id="rId10"/>
      <w:pgSz w:w="12240" w:h="15840"/>
      <w:pgMar w:top="851" w:right="851"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72" w:rsidRDefault="00C26372">
      <w:pPr>
        <w:spacing w:after="0" w:line="240" w:lineRule="auto"/>
      </w:pPr>
      <w:r>
        <w:separator/>
      </w:r>
    </w:p>
  </w:endnote>
  <w:endnote w:type="continuationSeparator" w:id="0">
    <w:p w:rsidR="00C26372" w:rsidRDefault="00C2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B6" w:rsidRDefault="00D5558D">
    <w:pPr>
      <w:pStyle w:val="Footer"/>
      <w:jc w:val="center"/>
    </w:pPr>
    <w:r>
      <w:fldChar w:fldCharType="begin"/>
    </w:r>
    <w:r>
      <w:instrText xml:space="preserve"> PAGE   \* MERGEFORMAT </w:instrText>
    </w:r>
    <w:r>
      <w:fldChar w:fldCharType="separate"/>
    </w:r>
    <w:r w:rsidR="00024020">
      <w:rPr>
        <w:noProof/>
      </w:rPr>
      <w:t>8</w:t>
    </w:r>
    <w:r>
      <w:rPr>
        <w:noProof/>
      </w:rPr>
      <w:fldChar w:fldCharType="end"/>
    </w:r>
  </w:p>
  <w:p w:rsidR="00993FB6" w:rsidRDefault="00C2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72" w:rsidRDefault="00C26372">
      <w:pPr>
        <w:spacing w:after="0" w:line="240" w:lineRule="auto"/>
      </w:pPr>
      <w:r>
        <w:separator/>
      </w:r>
    </w:p>
  </w:footnote>
  <w:footnote w:type="continuationSeparator" w:id="0">
    <w:p w:rsidR="00C26372" w:rsidRDefault="00C26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9D"/>
    <w:rsid w:val="00024020"/>
    <w:rsid w:val="000F3920"/>
    <w:rsid w:val="001D4E9D"/>
    <w:rsid w:val="00531E03"/>
    <w:rsid w:val="00831028"/>
    <w:rsid w:val="00C26372"/>
    <w:rsid w:val="00D5558D"/>
    <w:rsid w:val="00D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E9D"/>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1D4E9D"/>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E9D"/>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1D4E9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moi.com/tiktok-tag10883.epi" TargetMode="External"/><Relationship Id="rId3" Type="http://schemas.openxmlformats.org/officeDocument/2006/relationships/settings" Target="settings.xml"/><Relationship Id="rId7" Type="http://schemas.openxmlformats.org/officeDocument/2006/relationships/hyperlink" Target="https://dantri.com.vn/the-gioi/quan-su.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omoi.com/the-gioi.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7789</Words>
  <Characters>44403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2025-02-27T08:05:00Z</dcterms:created>
  <dcterms:modified xsi:type="dcterms:W3CDTF">2025-02-27T08:36:00Z</dcterms:modified>
</cp:coreProperties>
</file>