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BA" w:rsidRPr="007F13BA" w:rsidRDefault="007F13BA" w:rsidP="007F13BA">
      <w:pPr>
        <w:spacing w:after="0" w:line="240" w:lineRule="auto"/>
        <w:ind w:firstLine="567"/>
        <w:jc w:val="center"/>
        <w:rPr>
          <w:rFonts w:ascii="Times New Roman" w:hAnsi="Times New Roman"/>
          <w:b/>
          <w:sz w:val="32"/>
          <w:szCs w:val="32"/>
        </w:rPr>
      </w:pPr>
      <w:r w:rsidRPr="007F13BA">
        <w:rPr>
          <w:rFonts w:ascii="Times New Roman" w:hAnsi="Times New Roman"/>
          <w:b/>
          <w:sz w:val="32"/>
          <w:szCs w:val="32"/>
        </w:rPr>
        <w:t xml:space="preserve">BẢN TIN </w:t>
      </w:r>
      <w:r w:rsidRPr="007F13BA">
        <w:rPr>
          <w:rFonts w:ascii="Times New Roman" w:hAnsi="Times New Roman"/>
          <w:b/>
          <w:sz w:val="32"/>
          <w:szCs w:val="32"/>
        </w:rPr>
        <w:t>THÔNG BÁO NỘI BỘ</w:t>
      </w:r>
    </w:p>
    <w:p w:rsidR="007F13BA" w:rsidRPr="009F5CEA" w:rsidRDefault="007F13BA" w:rsidP="007F13BA">
      <w:pPr>
        <w:spacing w:after="0" w:line="240" w:lineRule="auto"/>
        <w:ind w:firstLine="567"/>
        <w:jc w:val="center"/>
        <w:rPr>
          <w:rFonts w:ascii="Times New Roman" w:hAnsi="Times New Roman"/>
          <w:b/>
          <w:sz w:val="28"/>
          <w:szCs w:val="28"/>
        </w:rPr>
      </w:pPr>
      <w:r w:rsidRPr="009F5CEA">
        <w:rPr>
          <w:rFonts w:ascii="Times New Roman" w:hAnsi="Times New Roman"/>
          <w:b/>
          <w:sz w:val="28"/>
          <w:szCs w:val="28"/>
        </w:rPr>
        <w:t>phục vụ SHCB tháng 4-2023 của Ban Tuyên giáo TW</w:t>
      </w:r>
    </w:p>
    <w:p w:rsidR="007F13BA" w:rsidRPr="009F5CEA" w:rsidRDefault="007F13BA" w:rsidP="007F13BA">
      <w:pPr>
        <w:spacing w:after="0" w:line="240" w:lineRule="auto"/>
        <w:ind w:firstLine="567"/>
        <w:jc w:val="center"/>
        <w:rPr>
          <w:rFonts w:ascii="Times New Roman" w:hAnsi="Times New Roman"/>
          <w:b/>
          <w:sz w:val="28"/>
          <w:szCs w:val="28"/>
        </w:rPr>
      </w:pPr>
      <w:r w:rsidRPr="009F5CEA">
        <w:rPr>
          <w:rFonts w:ascii="Times New Roman" w:hAnsi="Times New Roman"/>
          <w:b/>
          <w:sz w:val="28"/>
          <w:szCs w:val="28"/>
        </w:rPr>
        <w:t>phần “</w:t>
      </w:r>
      <w:r w:rsidRPr="009F5CEA">
        <w:rPr>
          <w:rFonts w:ascii="Times New Roman" w:hAnsi="Times New Roman"/>
          <w:b/>
          <w:i/>
          <w:sz w:val="28"/>
          <w:szCs w:val="28"/>
        </w:rPr>
        <w:t>Thời sự thế giới</w:t>
      </w:r>
      <w:r w:rsidRPr="009F5CEA">
        <w:rPr>
          <w:rFonts w:ascii="Times New Roman" w:hAnsi="Times New Roman"/>
          <w:b/>
          <w:sz w:val="28"/>
          <w:szCs w:val="28"/>
        </w:rPr>
        <w:t>” và “</w:t>
      </w:r>
      <w:r w:rsidRPr="009F5CEA">
        <w:rPr>
          <w:rFonts w:ascii="Times New Roman" w:hAnsi="Times New Roman"/>
          <w:b/>
          <w:i/>
          <w:sz w:val="28"/>
          <w:szCs w:val="28"/>
        </w:rPr>
        <w:t>Thời sự trong nước</w:t>
      </w:r>
      <w:r w:rsidRPr="009F5CEA">
        <w:rPr>
          <w:rFonts w:ascii="Times New Roman" w:hAnsi="Times New Roman"/>
          <w:b/>
          <w:sz w:val="28"/>
          <w:szCs w:val="28"/>
        </w:rPr>
        <w:t>”</w:t>
      </w:r>
    </w:p>
    <w:p w:rsidR="007F13BA" w:rsidRPr="009F5CEA" w:rsidRDefault="007F13BA" w:rsidP="007F13BA">
      <w:pPr>
        <w:spacing w:after="0" w:line="240" w:lineRule="auto"/>
        <w:ind w:firstLine="567"/>
        <w:jc w:val="center"/>
        <w:rPr>
          <w:rFonts w:ascii="Times New Roman" w:hAnsi="Times New Roman"/>
          <w:b/>
          <w:sz w:val="28"/>
          <w:szCs w:val="28"/>
        </w:rPr>
      </w:pPr>
      <w:r w:rsidRPr="009F5CEA">
        <w:rPr>
          <w:rFonts w:ascii="Times New Roman" w:hAnsi="Times New Roman"/>
          <w:b/>
          <w:sz w:val="28"/>
          <w:szCs w:val="28"/>
        </w:rPr>
        <w:t>-----</w:t>
      </w:r>
    </w:p>
    <w:p w:rsidR="007F13BA" w:rsidRPr="009F5CEA" w:rsidRDefault="007F13BA" w:rsidP="007F13BA">
      <w:pPr>
        <w:spacing w:after="0" w:line="240" w:lineRule="auto"/>
        <w:ind w:firstLine="567"/>
        <w:jc w:val="both"/>
        <w:rPr>
          <w:rFonts w:ascii="Times New Roman" w:hAnsi="Times New Roman"/>
          <w:b/>
          <w:sz w:val="28"/>
          <w:szCs w:val="28"/>
        </w:rPr>
      </w:pPr>
    </w:p>
    <w:p w:rsidR="007F13BA" w:rsidRPr="007F13BA" w:rsidRDefault="007F13BA" w:rsidP="007F13BA">
      <w:pPr>
        <w:tabs>
          <w:tab w:val="center" w:pos="4677"/>
        </w:tabs>
        <w:spacing w:after="0" w:line="240" w:lineRule="auto"/>
        <w:ind w:firstLine="567"/>
        <w:jc w:val="both"/>
        <w:rPr>
          <w:rFonts w:ascii="Times New Roman" w:hAnsi="Times New Roman"/>
          <w:b/>
          <w:sz w:val="28"/>
          <w:szCs w:val="28"/>
        </w:rPr>
      </w:pPr>
      <w:r w:rsidRPr="007F13BA">
        <w:rPr>
          <w:rFonts w:ascii="Times New Roman" w:hAnsi="Times New Roman"/>
          <w:b/>
          <w:sz w:val="28"/>
          <w:szCs w:val="28"/>
        </w:rPr>
        <w:t xml:space="preserve">I. </w:t>
      </w:r>
      <w:r w:rsidRPr="007F13BA">
        <w:rPr>
          <w:rFonts w:ascii="Times New Roman" w:hAnsi="Times New Roman"/>
          <w:b/>
          <w:sz w:val="28"/>
          <w:szCs w:val="28"/>
        </w:rPr>
        <w:t>THÔNG TIN THỜI SỰ</w:t>
      </w:r>
      <w:r w:rsidRPr="007F13BA">
        <w:rPr>
          <w:rFonts w:ascii="Times New Roman" w:hAnsi="Times New Roman"/>
          <w:b/>
          <w:sz w:val="28"/>
          <w:szCs w:val="28"/>
        </w:rPr>
        <w:t xml:space="preserve"> </w:t>
      </w:r>
      <w:r w:rsidRPr="007F13BA">
        <w:rPr>
          <w:rFonts w:ascii="Times New Roman" w:hAnsi="Times New Roman"/>
          <w:b/>
          <w:sz w:val="28"/>
          <w:szCs w:val="28"/>
        </w:rPr>
        <w:t>THẾ GIỚI</w:t>
      </w:r>
    </w:p>
    <w:p w:rsidR="007F13BA" w:rsidRPr="009F5CEA" w:rsidRDefault="007F13BA" w:rsidP="007F13BA">
      <w:pPr>
        <w:spacing w:after="0" w:line="240" w:lineRule="auto"/>
        <w:ind w:firstLine="567"/>
        <w:jc w:val="both"/>
        <w:rPr>
          <w:rFonts w:ascii="Times New Roman" w:hAnsi="Times New Roman"/>
          <w:b/>
          <w:sz w:val="28"/>
          <w:szCs w:val="28"/>
        </w:rPr>
      </w:pPr>
      <w:r>
        <w:rPr>
          <w:rFonts w:ascii="Times New Roman" w:hAnsi="Times New Roman"/>
          <w:b/>
          <w:sz w:val="28"/>
          <w:szCs w:val="28"/>
        </w:rPr>
        <w:t>1.</w:t>
      </w:r>
      <w:r w:rsidRPr="009F5CEA">
        <w:rPr>
          <w:rFonts w:ascii="Times New Roman" w:hAnsi="Times New Roman"/>
          <w:b/>
          <w:bCs/>
          <w:sz w:val="28"/>
          <w:szCs w:val="28"/>
        </w:rPr>
        <w:t xml:space="preserve"> </w:t>
      </w:r>
      <w:r w:rsidRPr="009F5CEA">
        <w:rPr>
          <w:rFonts w:ascii="Times New Roman" w:hAnsi="Times New Roman"/>
          <w:b/>
          <w:sz w:val="28"/>
          <w:szCs w:val="28"/>
        </w:rPr>
        <w:t xml:space="preserve">Kết quả Hội nghị An ninh Munich </w:t>
      </w:r>
      <w:bookmarkStart w:id="0" w:name="_Hlk109508220"/>
    </w:p>
    <w:p w:rsidR="007F13BA" w:rsidRPr="009F5CEA" w:rsidRDefault="007F13BA" w:rsidP="007F13BA">
      <w:pPr>
        <w:spacing w:after="0" w:line="240" w:lineRule="auto"/>
        <w:ind w:firstLine="567"/>
        <w:jc w:val="both"/>
        <w:rPr>
          <w:rFonts w:ascii="Times New Roman" w:hAnsi="Times New Roman"/>
          <w:bCs/>
          <w:i/>
          <w:iCs/>
          <w:sz w:val="28"/>
          <w:szCs w:val="28"/>
        </w:rPr>
      </w:pPr>
      <w:r w:rsidRPr="009F5CEA">
        <w:rPr>
          <w:rFonts w:ascii="Times New Roman" w:hAnsi="Times New Roman"/>
          <w:bCs/>
          <w:i/>
          <w:iCs/>
          <w:sz w:val="28"/>
          <w:szCs w:val="28"/>
        </w:rPr>
        <w:t>Hội nghị An ninh Munich lần thứ 59 - hội nghị an ninh quy mô nhất thế giới được tổ chức thường niên tại thành phố cùng tên tại miền Nam nước Đức đã diễn ra từ ngày 17 - 19/02/2023. Đây là diễn đàn quan trọng để các nhà lãnh đạo, các bên đối thoại cấp cao, tăng cường sự hiểu biết, tin cậy, thảo luận các biện pháp giảm đối đầu, căng thẳng, đối phó với các thách thức, nguy cơ, nhằm bảo vệ môi trường an ninh quốc tế.</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sz w:val="28"/>
          <w:szCs w:val="28"/>
        </w:rPr>
        <w:t xml:space="preserve">Hội nghị năm nay có sự tham gia của 40 nguyên thủ quốc gia và người đứng đầu chính phủ các nước, gần 100 bộ trưởng cùng hàng nghìn chuyên gia về chính sách an ninh đến từ các nước. </w:t>
      </w:r>
      <w:r w:rsidRPr="009F5CEA">
        <w:rPr>
          <w:rFonts w:ascii="Times New Roman" w:hAnsi="Times New Roman"/>
          <w:sz w:val="28"/>
          <w:szCs w:val="28"/>
          <w:shd w:val="clear" w:color="auto" w:fill="FFFFFF"/>
        </w:rPr>
        <w:t>Tuy nhiên, điều đặc biệt ở Hội nghị lần này là không có bất kỳ một quan chức Nga nào được mời dự Hội nghị, trong khi </w:t>
      </w:r>
      <w:hyperlink r:id="rId5" w:history="1">
        <w:r w:rsidRPr="009F5CEA">
          <w:rPr>
            <w:rFonts w:ascii="Times New Roman" w:hAnsi="Times New Roman"/>
            <w:sz w:val="28"/>
            <w:szCs w:val="28"/>
            <w:bdr w:val="none" w:sz="0" w:space="0" w:color="auto" w:frame="1"/>
            <w:shd w:val="clear" w:color="auto" w:fill="FFFFFF"/>
          </w:rPr>
          <w:t>xung đột Nga - Ukraine</w:t>
        </w:r>
      </w:hyperlink>
      <w:r w:rsidRPr="009F5CEA">
        <w:rPr>
          <w:rFonts w:ascii="Times New Roman" w:hAnsi="Times New Roman"/>
          <w:sz w:val="28"/>
          <w:szCs w:val="28"/>
          <w:shd w:val="clear" w:color="auto" w:fill="FFFFFF"/>
        </w:rPr>
        <w:t> lại là vấn đề được quan tâm hàng đầu hiện nay và cũng là nội dung trọng tâm của Hội nghị.</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sz w:val="28"/>
          <w:szCs w:val="28"/>
          <w:shd w:val="clear" w:color="auto" w:fill="FFFFFF"/>
        </w:rPr>
        <w:t xml:space="preserve">Tại Hội nghị, các đại biểu tập trung thảo luận các nội dung: Tác động toàn cầu của cuộc xung đột Nga - Ukraine; các vấn đề về </w:t>
      </w:r>
      <w:r w:rsidRPr="009F5CEA">
        <w:rPr>
          <w:rFonts w:ascii="Times New Roman" w:hAnsi="Times New Roman"/>
          <w:bCs/>
          <w:sz w:val="28"/>
          <w:szCs w:val="28"/>
        </w:rPr>
        <w:t>chính trị, kinh tế, an ninh, quốc phòng, biến đổi khí hậu, môi trường, an ninh lương thực toàn cầu; tái cấu trúc toàn cầu, trong đó đáng chú ý là trật tự </w:t>
      </w:r>
      <w:hyperlink r:id="rId6" w:history="1">
        <w:r w:rsidRPr="009F5CEA">
          <w:rPr>
            <w:rFonts w:ascii="Times New Roman" w:hAnsi="Times New Roman"/>
            <w:sz w:val="28"/>
            <w:szCs w:val="28"/>
          </w:rPr>
          <w:t>an ninh ở châu Âu</w:t>
        </w:r>
      </w:hyperlink>
      <w:r w:rsidRPr="009F5CEA">
        <w:rPr>
          <w:rFonts w:ascii="Times New Roman" w:hAnsi="Times New Roman"/>
          <w:bCs/>
          <w:sz w:val="28"/>
          <w:szCs w:val="28"/>
        </w:rPr>
        <w:t xml:space="preserve">; vấn đề mở rộng </w:t>
      </w:r>
      <w:r w:rsidRPr="009F5CEA">
        <w:rPr>
          <w:rFonts w:ascii="Times New Roman" w:hAnsi="Times New Roman"/>
          <w:sz w:val="28"/>
          <w:szCs w:val="28"/>
          <w:shd w:val="clear" w:color="auto" w:fill="FFFFFF"/>
        </w:rPr>
        <w:t>Tổ chức Hiệp ước Bắc Đại Tây Dương (NATO)</w:t>
      </w:r>
      <w:r w:rsidRPr="009F5CEA">
        <w:rPr>
          <w:rFonts w:ascii="Times New Roman" w:hAnsi="Times New Roman"/>
          <w:bCs/>
          <w:sz w:val="28"/>
          <w:szCs w:val="28"/>
        </w:rPr>
        <w:t>, trong đó có việc Thụy Điển và Phần Lan gia nhập liên minh quân sự này; vai trò của nước Anh hậu </w:t>
      </w:r>
      <w:hyperlink r:id="rId7" w:history="1">
        <w:r w:rsidRPr="009F5CEA">
          <w:rPr>
            <w:rFonts w:ascii="Times New Roman" w:hAnsi="Times New Roman"/>
            <w:sz w:val="28"/>
            <w:szCs w:val="28"/>
          </w:rPr>
          <w:t>Brexit</w:t>
        </w:r>
      </w:hyperlink>
      <w:r w:rsidRPr="009F5CEA">
        <w:rPr>
          <w:rFonts w:ascii="Times New Roman" w:hAnsi="Times New Roman"/>
          <w:bCs/>
          <w:sz w:val="28"/>
          <w:szCs w:val="28"/>
        </w:rPr>
        <w:t xml:space="preserve"> trong cấu trúc an ninh châu Âu tương lai… Bên lề Hội nghị đã diễn ra nhiều cuộc thảo luận song phương và đa phương, trong đó đáng chú ý là các cuộc gặp có sự tham dự của đại diện Mỹ, Trung Quốc, Đức, Pháp, Nhật, Hàn Quốc.</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sz w:val="28"/>
          <w:szCs w:val="28"/>
        </w:rPr>
        <w:t xml:space="preserve">Phát biểu tại Hội nghị, Thủ tướng Đức Olaf Scholz hối thúc các nước phương Tây hỗ trợ thêm xe tăng hiện đại cho Ukraine và cho rằng cuộc chiến ở Ukraine có thể sẽ còn kéo dài, đồng thời cam kết tiếp tục hỗ trợ đào tạo, vật tư và hậu cần. Tổng thống Pháp Emmanuel Macron nhấn mạnh, hiện không phải là thời điểm để đối thoại. Mục tiêu của Pháp và châu Âu giờ đây là gia tăng các biện pháp trừng phạt Nga và tăng cường sự ủng hộ về chính trị, quân sự và nhân đạo dành cho Ukraine, giúp Ukraine giành ưu thế để buộc nước Nga quay trở lại bàn đàm phán. Trái ngược với các phát biểu từ các nhà lãnh đạo phương Tây, liên quan vấn đề Ukraine, Chủ nhiệm Văn phòng Ủy ban Công tác Đối ngoại Trung ương Đảng Cộng sản Trung Quốc Vương Nghị kêu gọi các bên liên quan, nhất là các nước châu Âu, cần cân nhắc nỗ lực để chấm dứt cuộc xung đột này. Ông khẳng định, Trung Quốc không bàng quan cũng không “đổ thêm dầu vào lửa” liên quan tới xung đột ở Ukraine. Đại diện Trung Quốc cho biết, Trung Quốc sẽ nêu quan điểm của mình về việc giải quyết cuộc khủng hoảng Ukraine, trong đó nhấn mạnh sự toàn vẹn lãnh thổ của các nước phải được tôn trọng, các nguyên tắc trong Hiến chương Liên hợp quốc phải được duy trì. Chính vì vậy, phía Trung Quốc kêu gọi giải quyết xung đột ở Ukraine một cách hòa bình thông qua đối thoại và tham vấn, không nên giải quyết thông qua việc gây sức ép hoặc các biện pháp trừng phạt đơn </w:t>
      </w:r>
      <w:r w:rsidRPr="009F5CEA">
        <w:rPr>
          <w:rFonts w:ascii="Times New Roman" w:hAnsi="Times New Roman"/>
          <w:bCs/>
          <w:sz w:val="28"/>
          <w:szCs w:val="28"/>
        </w:rPr>
        <w:lastRenderedPageBreak/>
        <w:t>phương, bởi điều đó sẽ phản tác dụng.</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sz w:val="28"/>
          <w:szCs w:val="28"/>
        </w:rPr>
        <w:t xml:space="preserve">Tại phiên bế mạc, Chủ tịch Hội nghị An ninh Munich 2023 Christoph Heusgen đánh giá, Hội nghị đã thể hiện “sự đoàn kết mạnh mẽ xuyên Đại Tây Dương” và cho rằng châu Âu nói chung và nước Đức nói riêng cần tăng chi tiêu quốc phòng để có thể đáp ứng tốt hơn trước những thách thức mới của thời đại. </w:t>
      </w:r>
    </w:p>
    <w:p w:rsidR="007F13BA" w:rsidRPr="009F5CEA" w:rsidRDefault="007F13BA" w:rsidP="007F13BA">
      <w:pPr>
        <w:widowControl w:val="0"/>
        <w:spacing w:after="0" w:line="240" w:lineRule="auto"/>
        <w:ind w:firstLine="567"/>
        <w:jc w:val="both"/>
        <w:rPr>
          <w:rFonts w:ascii="Times New Roman" w:hAnsi="Times New Roman"/>
          <w:sz w:val="28"/>
          <w:szCs w:val="28"/>
          <w:shd w:val="clear" w:color="auto" w:fill="FFFFFF"/>
        </w:rPr>
      </w:pPr>
      <w:r w:rsidRPr="009F5CEA">
        <w:rPr>
          <w:rFonts w:ascii="Times New Roman" w:hAnsi="Times New Roman"/>
          <w:sz w:val="28"/>
          <w:szCs w:val="28"/>
          <w:shd w:val="clear" w:color="auto" w:fill="FFFFFF"/>
        </w:rPr>
        <w:t xml:space="preserve">Theo nhận định của nhiều nhà phân tích, kết quả Hội nghị </w:t>
      </w:r>
      <w:r w:rsidRPr="009F5CEA">
        <w:rPr>
          <w:rFonts w:ascii="Times New Roman" w:hAnsi="Times New Roman"/>
          <w:bCs/>
          <w:sz w:val="28"/>
          <w:szCs w:val="28"/>
        </w:rPr>
        <w:t xml:space="preserve">An ninh Munich 2023 </w:t>
      </w:r>
      <w:r w:rsidRPr="009F5CEA">
        <w:rPr>
          <w:rFonts w:ascii="Times New Roman" w:hAnsi="Times New Roman"/>
          <w:sz w:val="28"/>
          <w:szCs w:val="28"/>
          <w:shd w:val="clear" w:color="auto" w:fill="FFFFFF"/>
        </w:rPr>
        <w:t>chưa tạo ra được bước ngoặt thực sự nào trong đường hướng giải quyết các vấn đề đang đặt ra. Một trong những nguyên nhân được đưa ra là do thiếu vắng sự hiện diện của Nga khiến các thảo luận rơi vào thế một chiều, khó đưa ra những biện pháp thực sự giúp tháo ngòi nổ căng thẳng ở Ukraine hay góp phần giải quyết những thách thức phát sinh từ sự cạnh tranh gay gắt giữa các cường quốc.</w:t>
      </w:r>
    </w:p>
    <w:p w:rsidR="007F13BA" w:rsidRPr="009F5CEA" w:rsidRDefault="007F13BA" w:rsidP="007F13BA">
      <w:pPr>
        <w:widowControl w:val="0"/>
        <w:spacing w:after="0" w:line="240" w:lineRule="auto"/>
        <w:ind w:firstLine="567"/>
        <w:jc w:val="both"/>
        <w:rPr>
          <w:rFonts w:ascii="Times New Roman" w:hAnsi="Times New Roman"/>
          <w:b/>
          <w:bCs/>
          <w:sz w:val="28"/>
          <w:szCs w:val="28"/>
        </w:rPr>
      </w:pPr>
      <w:r w:rsidRPr="009F5CEA">
        <w:rPr>
          <w:rFonts w:ascii="Times New Roman" w:hAnsi="Times New Roman"/>
          <w:b/>
          <w:sz w:val="28"/>
          <w:szCs w:val="28"/>
          <w:shd w:val="clear" w:color="auto" w:fill="FFFFFF"/>
        </w:rPr>
        <w:t xml:space="preserve">2. Về Thông điệp liên bang của Nga năm 2023 </w:t>
      </w:r>
    </w:p>
    <w:p w:rsidR="007F13BA" w:rsidRPr="009F5CEA" w:rsidRDefault="007F13BA" w:rsidP="007F13BA">
      <w:pPr>
        <w:widowControl w:val="0"/>
        <w:spacing w:after="0" w:line="240" w:lineRule="auto"/>
        <w:ind w:firstLine="567"/>
        <w:jc w:val="both"/>
        <w:rPr>
          <w:rFonts w:ascii="Times New Roman" w:hAnsi="Times New Roman"/>
          <w:bCs/>
          <w:i/>
          <w:iCs/>
          <w:sz w:val="28"/>
          <w:szCs w:val="28"/>
        </w:rPr>
      </w:pPr>
      <w:r w:rsidRPr="009F5CEA">
        <w:rPr>
          <w:rFonts w:ascii="Times New Roman" w:hAnsi="Times New Roman"/>
          <w:bCs/>
          <w:i/>
          <w:iCs/>
          <w:sz w:val="28"/>
          <w:szCs w:val="28"/>
        </w:rPr>
        <w:t>Tổng thống Nga Vladimir Putin đã đọc Thông điệp liên bang 2023 tại hội trường tòa nhà Gostiny Dvor, thủ đô Moskva, Nga. Đây là thông điệp thứ 18 của nhà lãnh đạo Nga và sau gần 1 năm nước này tiến hành chiến dịch quân sự đặc biệt ở Ukraine. Thông điệp đã đề cập đến nhiều vấn đề đối nội và đối ngoại quan trọng, khẳng định nhu cầu độc lập, tự do phát triển của nước Nga và bày tỏ quan điểm đối với các chính sách của phương Tây.</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sz w:val="28"/>
          <w:szCs w:val="28"/>
        </w:rPr>
        <w:t> Theo thông lệ, bài phát biểu Thông điệp liên bang của Tổng thống Nga trước Quốc hội sẽ tập trung vào các vấn đề về tình hình đất nước, về các định hướng chính trong chính sách đối nội và đối ngoại của nhà nước, là cơ sở để đặt ra các mục tiêu chiến lược, ưu tiên phát triển kinh tế - xã hội và đảm bảo an ninh quốc gia của Nga. Theo đó, Thông điệp 2023 tập trung vào các nội dung chính sau:</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i/>
          <w:iCs/>
          <w:sz w:val="28"/>
          <w:szCs w:val="28"/>
        </w:rPr>
        <w:t xml:space="preserve">Về cuộc xung đột với Ukraine và quan hệ đối ngoại của Nga với Mỹ, phương Tây: </w:t>
      </w:r>
      <w:r w:rsidRPr="009F5CEA">
        <w:rPr>
          <w:rFonts w:ascii="Times New Roman" w:hAnsi="Times New Roman"/>
          <w:bCs/>
          <w:iCs/>
          <w:sz w:val="28"/>
          <w:szCs w:val="28"/>
        </w:rPr>
        <w:t>M</w:t>
      </w:r>
      <w:r w:rsidRPr="009F5CEA">
        <w:rPr>
          <w:rFonts w:ascii="Times New Roman" w:hAnsi="Times New Roman"/>
          <w:bCs/>
          <w:sz w:val="28"/>
          <w:szCs w:val="28"/>
        </w:rPr>
        <w:t xml:space="preserve">ở đầu thông điệp liên bang, Tổng thống Putin nhấn mạnh Nga đã làm mọi cách để giải quyết vấn đề </w:t>
      </w:r>
      <w:r w:rsidRPr="009F5CEA">
        <w:rPr>
          <w:rFonts w:ascii="Times New Roman" w:hAnsi="Times New Roman"/>
          <w:bCs/>
          <w:iCs/>
          <w:sz w:val="28"/>
          <w:szCs w:val="28"/>
        </w:rPr>
        <w:t>Ukraine</w:t>
      </w:r>
      <w:r w:rsidRPr="009F5CEA">
        <w:rPr>
          <w:rFonts w:ascii="Times New Roman" w:hAnsi="Times New Roman"/>
          <w:bCs/>
          <w:sz w:val="28"/>
          <w:szCs w:val="28"/>
        </w:rPr>
        <w:t xml:space="preserve"> một cách hòa bình, nhưng cam kết của các nhà lãnh đạo phương Tây đã không được thực hiện. Tổng thống Putin cho rằng phương Tây “khơi mào” cuộc xung đột ở Ukraine và các nước phương Tây - dẫn đầu là Mỹ - đang tìm kiếm “quyền lực vô hạn” trong các vấn đề thế giới. Tổng thống Putin cho biết, Nga kiên quyết bảo vệ lợi ích của mình và thế giới không nên bị chia thành các quốc gia “văn minh” và phần còn lại. Tổng thống Nga nhận định, phương Tây đang cố gắng biến cuộc xung đột khu vực thành cuộc xung đột toàn cầu và khẳng định sẽ phản ứng một cách phù hợp.</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sz w:val="28"/>
          <w:szCs w:val="28"/>
        </w:rPr>
        <w:t xml:space="preserve">Trong bài phát biểu, Tổng thống Putin cũng </w:t>
      </w:r>
      <w:r w:rsidRPr="009F5CEA">
        <w:rPr>
          <w:rFonts w:ascii="Times New Roman" w:hAnsi="Times New Roman"/>
          <w:bCs/>
          <w:i/>
          <w:iCs/>
          <w:sz w:val="28"/>
          <w:szCs w:val="28"/>
        </w:rPr>
        <w:t>tuyên bố Nga tạm ngừng tham gia Hiệp ước Cắt giảm vũ khí tấn công chiến lược mới (New START).</w:t>
      </w:r>
      <w:r w:rsidRPr="009F5CEA">
        <w:rPr>
          <w:rFonts w:ascii="Times New Roman" w:hAnsi="Times New Roman"/>
          <w:bCs/>
          <w:sz w:val="28"/>
          <w:szCs w:val="28"/>
        </w:rPr>
        <w:t xml:space="preserve"> Điều này là do Mỹ và Tổ chức Hiệp ước Bắc Đại Tây Dương (NATO) đã tham gia vào cuộc xung đột quân sự trực tiếp với Nga với mục tiêu gây “thất bại chiến lược cho Nga”. Tổng thống Putin cho rằng, ngoài kho vũ khí hạt nhân của Mỹ, cần phải tính tới kho vũ khí hạt nhân của Anh và Pháp và yêu cầu Bộ Quốc phòng Nga và tập đoàn năng lượng hạt nhân nhà nước Rosatom phải sẵn sàng cho các vụ thử hạt nhân trong trường hợp cần thiết, nhưng lưu ý rằng Nga sẽ không phải là bên đầu tiên thực hiện các hoạt động này.  </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i/>
          <w:iCs/>
          <w:sz w:val="28"/>
          <w:szCs w:val="28"/>
        </w:rPr>
        <w:t>Về kinh tế,</w:t>
      </w:r>
      <w:r w:rsidRPr="009F5CEA">
        <w:rPr>
          <w:rFonts w:ascii="Times New Roman" w:hAnsi="Times New Roman"/>
          <w:bCs/>
          <w:sz w:val="28"/>
          <w:szCs w:val="28"/>
        </w:rPr>
        <w:t xml:space="preserve"> Tổng thống Putin cáo buộc phương Tây đã phát động tấn công vào nền kinh tế Nga bằng các lệnh trừng phạt, tuy nhiên sẽ “không đạt được gì và không thu được bất kỳ kết quả nào”. Tổng thống Putin khẳng định nền kinh tế quốc gia vẫn đứng vững trước những biện pháp trừng phạt của các nước phương </w:t>
      </w:r>
      <w:r w:rsidRPr="009F5CEA">
        <w:rPr>
          <w:rFonts w:ascii="Times New Roman" w:hAnsi="Times New Roman"/>
          <w:bCs/>
          <w:sz w:val="28"/>
          <w:szCs w:val="28"/>
        </w:rPr>
        <w:lastRenderedPageBreak/>
        <w:t xml:space="preserve">Tây. Ông khẳng định trước Quốc hội nước Nga có mọi nguồn lực tài chính cần thiết để đảm bảo an ninh và phát triển quốc gia bất chấp những biện pháp trừng phạt kinh tế của phương Tây. Mặc dù GDP của Nga năm 2022 giảm 2,1% nhưng vượt so với những dự báo trước đó. Nga đang xây dựng các hệ thống thanh toán và cấu trúc tài chính mới, độc lập với đồng USD; các ngân hàng trong nước hoạt động ổn định. Tổng thống Putin cũng kêu gọi cần thay đổi cấu trúc kinh tế của đất nước; hướng các doanh nhân của mình hãy bắt đầu những dự án mới; phát triển hành lang Bắc - Nam và tuyến đường biển Bắc Băng Dương. </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i/>
          <w:iCs/>
          <w:sz w:val="28"/>
          <w:szCs w:val="28"/>
        </w:rPr>
        <w:t xml:space="preserve">Về xã hội, </w:t>
      </w:r>
      <w:r w:rsidRPr="009F5CEA">
        <w:rPr>
          <w:rFonts w:ascii="Times New Roman" w:hAnsi="Times New Roman"/>
          <w:bCs/>
          <w:sz w:val="28"/>
          <w:szCs w:val="28"/>
        </w:rPr>
        <w:t>thay vì ban bố lệnh động viên để huy động ít nhất 500.000 binh sĩ mới như nhiều dự báo trước đó, Tổng thống Nga ca ngợi và bày tỏ lòng biết ơn với gia đình và những người lính đã sẵn sàng có mặt tại chiến sự Ukraine. Đồng thời, đề xuất thành lập một quỹ quốc gia đặc biệt. Nhiệm vụ của quỹ này là trực tiếp hỗ trợ các gia đình của những người lính đã hy sinh và các cựu chiến binh tham gia chiến dịch quân sự đặc biệt. Các biện pháp hỗ trợ bổ sung, chế độ an sinh xã hội sẽ là cách tốt hơn là lệnh tổng động viên ở thời điểm này bởi có thể gây ra nhiều xáo trộn và hoang mang trong xã hội.</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sz w:val="28"/>
          <w:szCs w:val="28"/>
        </w:rPr>
        <w:t>Theo kết quả thăm dò do Trung tâm Nghiên cứu Dư luận toàn Nga thực hiện và được hãng tin TASS công bố ngày 10/3/2023, mức độ tín nhiệm của Tổng thống Vladimir Putin trong công chúng Nga vẫn được duy trì ở mức cao, đạt 80%.</w:t>
      </w:r>
    </w:p>
    <w:p w:rsidR="007F13BA" w:rsidRPr="009F5CEA" w:rsidRDefault="007F13BA" w:rsidP="007F13BA">
      <w:pPr>
        <w:widowControl w:val="0"/>
        <w:spacing w:after="0" w:line="240" w:lineRule="auto"/>
        <w:ind w:firstLine="567"/>
        <w:jc w:val="both"/>
        <w:rPr>
          <w:rFonts w:ascii="Times New Roman" w:hAnsi="Times New Roman"/>
          <w:sz w:val="28"/>
          <w:szCs w:val="28"/>
          <w:shd w:val="clear" w:color="auto" w:fill="FFFFFF"/>
        </w:rPr>
      </w:pPr>
      <w:r w:rsidRPr="009F5CEA">
        <w:rPr>
          <w:rFonts w:ascii="Times New Roman" w:hAnsi="Times New Roman"/>
          <w:sz w:val="28"/>
          <w:szCs w:val="28"/>
          <w:shd w:val="clear" w:color="auto" w:fill="FFFFFF"/>
        </w:rPr>
        <w:t>Theo các nhà phân tích, thông điệp Liên bang của Nga năm 2023 được phát đi vào thời điểm thế giới đang chứng kiến nhiều sự kiện quan trọng, đó là trước thềm dấu mốc một năm Nga bắt đầu triển khai chiến dịch quân sự đặc biệt tại Ukraine; Ngoại trưởng Mỹ Antony Blinken thăm Thổ Nhĩ Kỳ nhằm vận động Thổ Nhĩ Kỳ phê duyệt đơn gia nhập NATO của Phần Lan và Thụy Điển; chuyến thăm bất ngờ của Tổng thống Mỹ Joe Biden tới Ukraine; Chủ nhiệm Văn phòng Ủy ban Công tác đối ngoại Trung ương Đảng Cộng sản Trung Quốc Vương Nghị thăm châu Âu và có chuyến thăm Nga nhằm thúc đẩy các cuộc đàm phán hòa bình Nga - Ukraine, đúng vào dịp Tổng thống Mỹ thăm Ba Lan để thảo luận về các nỗ lực chung hỗ trợ Ukraine và củng cố sức mạnh đồng minh ở sườn phía Đông của NATO. Những chuyến công du trên phần nào cho thấy, Mỹ và các đồng minh phương Tây vẫn không ngừng kêu gọi gia tăng các nỗ lực viện trợ quân sự cho Ukraine song song với việc tiếp tục siết chặt các biện pháp trừng phạt Nga.</w:t>
      </w:r>
    </w:p>
    <w:p w:rsidR="007F13BA" w:rsidRPr="009F5CEA" w:rsidRDefault="007F13BA" w:rsidP="007F13BA">
      <w:pPr>
        <w:widowControl w:val="0"/>
        <w:spacing w:after="0" w:line="240" w:lineRule="auto"/>
        <w:ind w:firstLine="567"/>
        <w:jc w:val="both"/>
        <w:rPr>
          <w:rFonts w:ascii="Times New Roman" w:hAnsi="Times New Roman"/>
          <w:b/>
          <w:bCs/>
          <w:sz w:val="28"/>
          <w:szCs w:val="28"/>
        </w:rPr>
      </w:pPr>
      <w:r w:rsidRPr="009F5CEA">
        <w:rPr>
          <w:rFonts w:ascii="Times New Roman" w:hAnsi="Times New Roman"/>
          <w:b/>
          <w:sz w:val="28"/>
          <w:szCs w:val="28"/>
          <w:shd w:val="clear" w:color="auto" w:fill="FFFFFF"/>
        </w:rPr>
        <w:t xml:space="preserve">3. Hội nghị Chính trị Hiệp thương Nhân dân Trung Quốc (Chính hiệp) và Đại hội Đại biểu Nhân dân Toàn quốc Trung Quốc (Quốc hội) khoá XIV </w:t>
      </w:r>
    </w:p>
    <w:bookmarkEnd w:id="0"/>
    <w:p w:rsidR="007F13BA" w:rsidRPr="009F5CEA" w:rsidRDefault="007F13BA" w:rsidP="007F13BA">
      <w:pPr>
        <w:widowControl w:val="0"/>
        <w:spacing w:after="0" w:line="240" w:lineRule="auto"/>
        <w:ind w:firstLine="567"/>
        <w:jc w:val="both"/>
        <w:rPr>
          <w:rFonts w:ascii="Times New Roman" w:hAnsi="Times New Roman"/>
          <w:bCs/>
          <w:i/>
          <w:iCs/>
          <w:spacing w:val="4"/>
          <w:sz w:val="28"/>
          <w:szCs w:val="28"/>
        </w:rPr>
      </w:pPr>
      <w:r w:rsidRPr="009F5CEA">
        <w:rPr>
          <w:rFonts w:ascii="Times New Roman" w:hAnsi="Times New Roman"/>
          <w:bCs/>
          <w:i/>
          <w:iCs/>
          <w:spacing w:val="4"/>
          <w:sz w:val="28"/>
          <w:szCs w:val="28"/>
        </w:rPr>
        <w:t>Hội nghị Chính trị Hiệp thương Nhân dân Trung Quốc (Chính Hiệp) và Đại hội Đại biểu Nhân dân Toàn quốc Trung Quốc (Quốc hội) khóa XIV diễn ra từ ngày 04/3/2023. Đây là hai sự kiện chính trị trọng đại của Trung Quốc trong năm 2023.</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sz w:val="28"/>
          <w:szCs w:val="28"/>
        </w:rPr>
        <w:t xml:space="preserve">Mỗi năm một lần, hơn 2.000 đại biểu Chính Hiệp, những người đại diện cho các đảng phái, các đoàn thể tổ chức xã hội, các dân tộc thiểu số ở Trung Quốc tập trung về thủ đô Bắc Kinh để đóng góp ý kiến cho sự kiện quan trọng của nền kinh tế lớn thứ 2 thế giới. Các thành viên của Chính Hiệp toàn quốc khóa XIV thuộc 34 nhóm và tất cả đều nằm trong số 56 nhóm sắc tộc của Trung Quốc. Các đại biểu mang tính đại diện rộng rãi với cấu trúc thành phần bao gồm những cá nhân nổi bật từ mọi tầng lớp xã hội Trung Quốc. </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sz w:val="28"/>
          <w:szCs w:val="28"/>
        </w:rPr>
        <w:t xml:space="preserve"> Ngoài việc xem xét một loạt báo cáo bao gồm báo cáo công tác chính phủ, tại </w:t>
      </w:r>
      <w:r w:rsidRPr="009F5CEA">
        <w:rPr>
          <w:rFonts w:ascii="Times New Roman" w:hAnsi="Times New Roman"/>
          <w:bCs/>
          <w:sz w:val="28"/>
          <w:szCs w:val="28"/>
        </w:rPr>
        <w:lastRenderedPageBreak/>
        <w:t>kỳ họp này, các đại biểu </w:t>
      </w:r>
      <w:hyperlink r:id="rId8" w:history="1">
        <w:r w:rsidRPr="009F5CEA">
          <w:rPr>
            <w:rFonts w:ascii="Times New Roman" w:hAnsi="Times New Roman"/>
            <w:sz w:val="28"/>
            <w:szCs w:val="28"/>
          </w:rPr>
          <w:t>Quốc hội Trung Quốc</w:t>
        </w:r>
      </w:hyperlink>
      <w:r w:rsidRPr="009F5CEA">
        <w:rPr>
          <w:rFonts w:ascii="Times New Roman" w:hAnsi="Times New Roman"/>
          <w:bCs/>
          <w:sz w:val="28"/>
          <w:szCs w:val="28"/>
        </w:rPr>
        <w:t> sẽ thảo luận về dự thảo sửa đổi Luật Lập pháp và kế hoạch cải cách các cơ quan của chính phủ. Kỳ họp sẽ bầu chọn và quyết định một số chức danh lãnh đạo nhà nước Trung Quốc, trong đó có Chủ tịch nước và Thủ tướng.</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bCs/>
          <w:sz w:val="28"/>
          <w:szCs w:val="28"/>
        </w:rPr>
        <w:t xml:space="preserve">Tại </w:t>
      </w:r>
      <w:r w:rsidRPr="009F5CEA">
        <w:rPr>
          <w:rFonts w:ascii="Times New Roman" w:hAnsi="Times New Roman"/>
          <w:sz w:val="28"/>
          <w:szCs w:val="28"/>
        </w:rPr>
        <w:t>phiên họp, Tổng Bí thư Ban Chấp hành Trung ương </w:t>
      </w:r>
      <w:hyperlink r:id="rId9" w:history="1">
        <w:r w:rsidRPr="009F5CEA">
          <w:rPr>
            <w:rFonts w:ascii="Times New Roman" w:hAnsi="Times New Roman"/>
            <w:sz w:val="28"/>
            <w:szCs w:val="28"/>
          </w:rPr>
          <w:t>Đảng Cộng sản Trung Quốc</w:t>
        </w:r>
      </w:hyperlink>
      <w:r w:rsidRPr="009F5CEA">
        <w:rPr>
          <w:rFonts w:ascii="Times New Roman" w:hAnsi="Times New Roman"/>
          <w:sz w:val="28"/>
          <w:szCs w:val="28"/>
        </w:rPr>
        <w:t> </w:t>
      </w:r>
      <w:hyperlink r:id="rId10" w:history="1">
        <w:r w:rsidRPr="009F5CEA">
          <w:rPr>
            <w:rFonts w:ascii="Times New Roman" w:hAnsi="Times New Roman"/>
            <w:sz w:val="28"/>
            <w:szCs w:val="28"/>
          </w:rPr>
          <w:t>Tập Cận Bình</w:t>
        </w:r>
      </w:hyperlink>
      <w:r w:rsidRPr="009F5CEA">
        <w:rPr>
          <w:rFonts w:ascii="Times New Roman" w:hAnsi="Times New Roman"/>
          <w:sz w:val="28"/>
          <w:szCs w:val="28"/>
        </w:rPr>
        <w:t> đã được bầu lại làm </w:t>
      </w:r>
      <w:hyperlink r:id="rId11" w:history="1">
        <w:r w:rsidRPr="009F5CEA">
          <w:rPr>
            <w:rFonts w:ascii="Times New Roman" w:hAnsi="Times New Roman"/>
            <w:sz w:val="28"/>
            <w:szCs w:val="28"/>
          </w:rPr>
          <w:t>Chủ tịch Trung Quốc</w:t>
        </w:r>
      </w:hyperlink>
      <w:r w:rsidRPr="009F5CEA">
        <w:rPr>
          <w:rFonts w:ascii="Times New Roman" w:hAnsi="Times New Roman"/>
          <w:sz w:val="28"/>
          <w:szCs w:val="28"/>
        </w:rPr>
        <w:t xml:space="preserve"> và Chủ tịch Quân ủy Trung ương, nhiệm kỳ thứ ba liên tiếp, đều với số phiếu bầu tuyệt đối 2.952/2.952. Ủy viên Thường vụ Bộ Chính trị Ban Chấp hành Trung ương Đảng Cộng sản Trung Quốc Lý Cường đã được bầu làm Thủ tướng Trung Quốc, thay ông Lý Khắc Cường. Ông </w:t>
      </w:r>
      <w:r w:rsidRPr="009F5CEA">
        <w:rPr>
          <w:rStyle w:val="Strong"/>
          <w:rFonts w:ascii="Times New Roman" w:hAnsi="Times New Roman"/>
          <w:b w:val="0"/>
          <w:bCs w:val="0"/>
          <w:sz w:val="28"/>
          <w:szCs w:val="28"/>
        </w:rPr>
        <w:t xml:space="preserve">Triệu Lạc Tế, Ủy viên Thường vụ Bộ Chính trị, Bí thư Ủy ban Kiểm tra Kỷ luật Trung ương, được bầu làm Chủ tịch Quốc hội. </w:t>
      </w:r>
      <w:r w:rsidRPr="009F5CEA">
        <w:rPr>
          <w:rFonts w:ascii="Times New Roman" w:hAnsi="Times New Roman"/>
          <w:sz w:val="28"/>
          <w:szCs w:val="28"/>
        </w:rPr>
        <w:t xml:space="preserve">Ông Vương Hỗ Ninh, </w:t>
      </w:r>
      <w:r w:rsidRPr="009F5CEA">
        <w:rPr>
          <w:rStyle w:val="Strong"/>
          <w:rFonts w:ascii="Times New Roman" w:hAnsi="Times New Roman"/>
          <w:b w:val="0"/>
          <w:bCs w:val="0"/>
          <w:sz w:val="28"/>
          <w:szCs w:val="28"/>
        </w:rPr>
        <w:t>Ủy viên Thường vụ Bộ Chính trị,</w:t>
      </w:r>
      <w:r w:rsidRPr="009F5CEA">
        <w:rPr>
          <w:rFonts w:ascii="Times New Roman" w:hAnsi="Times New Roman"/>
          <w:sz w:val="28"/>
          <w:szCs w:val="28"/>
        </w:rPr>
        <w:t xml:space="preserve"> được bầu làm Chủ tịch Ủy ban Toàn quốc Hội nghị Hiệp thương Chính trị Nhân dân Trung Quốc (Chính Hiệp) lần thứ 14, cơ quan cố vấn chính trị hàng đầu của Trung Quốc. </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sz w:val="28"/>
          <w:szCs w:val="28"/>
        </w:rPr>
        <w:t>Trong Báo cáo Công tác Chính phủ được trình bày tại Kỳ họp thứ nhất Đại hội Đại biểu Nhân dân Toàn quốc (Quốc hội) khóa XIV ngày 05/3/2023, Thủ tướng Trung Quốc Lý Khắc Cường cho biết, Trung Quốc cam kết thực hiện một chính sách đối ngoại độc lập vì hòa bình và phát triển hòa bình, theo đuổi quan hệ hữu nghị và hợp tác với các nước khác, đồng thời sẵn sàng hợp tác với cộng đồng quốc tế để đưa Sáng kiến Phát triển Toàn cầu (GDI) và Sáng kiến An ninh Toàn cầu (GSI) đi vào hoạt động.</w:t>
      </w:r>
    </w:p>
    <w:p w:rsidR="007F13BA" w:rsidRPr="009F5CEA" w:rsidRDefault="007F13BA" w:rsidP="007F13BA">
      <w:pPr>
        <w:widowControl w:val="0"/>
        <w:spacing w:after="0" w:line="240" w:lineRule="auto"/>
        <w:ind w:firstLine="567"/>
        <w:jc w:val="both"/>
        <w:rPr>
          <w:rFonts w:ascii="Times New Roman" w:hAnsi="Times New Roman"/>
          <w:bCs/>
          <w:sz w:val="28"/>
          <w:szCs w:val="28"/>
        </w:rPr>
      </w:pPr>
      <w:r w:rsidRPr="009F5CEA">
        <w:rPr>
          <w:rFonts w:ascii="Times New Roman" w:hAnsi="Times New Roman"/>
          <w:bCs/>
          <w:sz w:val="28"/>
          <w:szCs w:val="28"/>
        </w:rPr>
        <w:t xml:space="preserve"> Về công tác chính phủ trong năm 2023, Trung Quốc công bố kế hoạch cải cách sâu rộng đối với một loạt các cơ quan nhà nước, trong đó tập trung vào việc tái cơ cấu Bộ Khoa học và Công nghệ và thành lập cơ quan quản lý tài chính quốc gia, qua đó nhấn mạnh những nỗ lực nhằm thúc đẩy năng lực khoa học - công nghệ cũng như an ninh kinh tế và tài chính trong bối cảnh bất ổn bên ngoài ngày càng gia tăng.</w:t>
      </w:r>
    </w:p>
    <w:p w:rsidR="007F13BA" w:rsidRPr="009F5CEA" w:rsidRDefault="007F13BA" w:rsidP="007F13BA">
      <w:pPr>
        <w:widowControl w:val="0"/>
        <w:spacing w:after="0" w:line="240" w:lineRule="auto"/>
        <w:ind w:firstLine="567"/>
        <w:jc w:val="both"/>
        <w:rPr>
          <w:rFonts w:ascii="Times New Roman" w:hAnsi="Times New Roman"/>
          <w:bCs/>
          <w:spacing w:val="-2"/>
          <w:sz w:val="28"/>
          <w:szCs w:val="28"/>
        </w:rPr>
      </w:pPr>
      <w:r w:rsidRPr="009F5CEA">
        <w:rPr>
          <w:rFonts w:ascii="Times New Roman" w:hAnsi="Times New Roman"/>
          <w:bCs/>
          <w:spacing w:val="-2"/>
          <w:sz w:val="28"/>
          <w:szCs w:val="28"/>
        </w:rPr>
        <w:t>Về kinh tế, </w:t>
      </w:r>
      <w:hyperlink r:id="rId12" w:history="1">
        <w:r w:rsidRPr="009F5CEA">
          <w:rPr>
            <w:rFonts w:ascii="Times New Roman" w:hAnsi="Times New Roman"/>
            <w:bCs/>
            <w:spacing w:val="-2"/>
            <w:sz w:val="28"/>
            <w:szCs w:val="28"/>
          </w:rPr>
          <w:t>Trung Quốc</w:t>
        </w:r>
      </w:hyperlink>
      <w:r w:rsidRPr="009F5CEA">
        <w:rPr>
          <w:rFonts w:ascii="Times New Roman" w:hAnsi="Times New Roman"/>
          <w:bCs/>
          <w:spacing w:val="-2"/>
          <w:sz w:val="28"/>
          <w:szCs w:val="28"/>
        </w:rPr>
        <w:t> khẳng định sẽ tăng tốc hiện đại hóa hệ thống công nghiệp trong nước. Các mục tiêu dự kiến cho phát triển kinh tế - xã hội năm 2023 của Trung Quốc: GDP tăng trưởng khoảng 5%, tạo thêm khoảng 12 triệu việc làm tại khu vực thành thị, tỷ lệ thất nghiệp khoảng 5,5%, CPI tăng khoảng 3%, thu nhập người dân tăng cùng mức với tăng trưởng kinh tế, duy trì ổn định và nâng cao chất lượng xuất nhập khẩu, cán cân thanh toán quốc tế ổn định, sản lượng lương thực duy trì trên 650 triệu tấn, mức tiêu hao năng lượng và lượng phát thải các chất ô nhiễm chính tiếp tục giảm, tập trung kiểm soát tiêu thụ năng lượng hóa thạch, chất lượng môi trường sinh thái dần cải thiện. Theo đó, Trung Quốc sẽ tập trung mở rộng nhu cầu trong nước, đẩy mạnh xây dựng hệ thống ngành, nghề hiện đại; đi sâu cải cách vốn nhà nước và doanh nghiệp nhà nước, khuyến khích phát triển kinh tế tư nhân và doanh nghiệp tư nhân; đẩy mạnh thu hút và sử dụng vốn đầu tư nước ngoài; phòng ngừa và xử lý các rủi ro tài chính; ổn định sản xuất lương thực và phát triển nông thôn; thúc đẩy chuyển đổi xanh; bảo đảm an sinh xã hội và phát triển các dịch vụ xã hội... Theo dự thảo ngân sách được công bố tại phiên khai mạc Kỳ họp thứ nhất Đại hội Đại biểu Nhân dân Toàn quốc, ngân sách quốc phòng của Trung Quốc trong năm 2023 sẽ tăng 7,2%, duy trì mức tăng một con số trong năm thứ 8.</w:t>
      </w:r>
    </w:p>
    <w:p w:rsidR="007F13BA" w:rsidRPr="009F5CEA" w:rsidRDefault="007F13BA" w:rsidP="007F13BA">
      <w:pPr>
        <w:widowControl w:val="0"/>
        <w:spacing w:after="0" w:line="240" w:lineRule="auto"/>
        <w:ind w:firstLine="567"/>
        <w:jc w:val="both"/>
        <w:rPr>
          <w:rFonts w:ascii="Times New Roman" w:hAnsi="Times New Roman"/>
          <w:b/>
          <w:sz w:val="28"/>
          <w:szCs w:val="28"/>
        </w:rPr>
      </w:pPr>
      <w:r w:rsidRPr="009F5CEA">
        <w:rPr>
          <w:rFonts w:ascii="Times New Roman" w:hAnsi="Times New Roman"/>
          <w:b/>
          <w:sz w:val="28"/>
          <w:szCs w:val="28"/>
        </w:rPr>
        <w:t>4. Kế hoạch hoà bình của Trung Quốc đối với cuộc xung đột Nga - Ukraine</w:t>
      </w:r>
    </w:p>
    <w:p w:rsidR="007F13BA" w:rsidRPr="009F5CEA" w:rsidRDefault="007F13BA" w:rsidP="007F13BA">
      <w:pPr>
        <w:widowControl w:val="0"/>
        <w:spacing w:after="0" w:line="240" w:lineRule="auto"/>
        <w:ind w:firstLine="567"/>
        <w:jc w:val="both"/>
        <w:rPr>
          <w:rFonts w:ascii="Times New Roman" w:hAnsi="Times New Roman"/>
          <w:i/>
          <w:iCs/>
          <w:sz w:val="28"/>
          <w:szCs w:val="28"/>
        </w:rPr>
      </w:pPr>
      <w:r w:rsidRPr="009F5CEA">
        <w:rPr>
          <w:rFonts w:ascii="Times New Roman" w:hAnsi="Times New Roman"/>
          <w:i/>
          <w:iCs/>
          <w:sz w:val="28"/>
          <w:szCs w:val="28"/>
        </w:rPr>
        <w:lastRenderedPageBreak/>
        <w:t>Hơn một năm kể từ ngày bùng phát, xung đột Nga - Ukraine chưa đi đến hồi kết mà còn trở nên khó đoán định hơn, tác động kéo dài tới cục diện thế giới. Trước tình hình đó, Trung Quốc đã công bố lập trường gồm 12 điểm vào dịp tròn 01 năm chiến sự tại Ukraine, kêu gọi hòa đàm, ngừng cấm vận đơn phương và tái thiết hậu xung đột.</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Tròn một năm chiến dịch quân sự đặc biệt của Nga tại Ukraine, các bên liên quan vẫn chưa thống nhất về nguyên nhân thực sự của cuộc khủng hoảng và không đạt được nhận thức chung về việc tìm kiếm giải pháp cho xung đột. Dù đã có những nỗ lực trung gian hòa giải song những hoạt động ngoại giao đều không thu được kết quả. Cho tới nay, các bên đều nghiêng về mong muốn giải quyết vấn đề trên chiến trường và chỉ chấp nhận đàm phán trên thế mạnh. Sau khi chiến dịch quân sự đặc biệt bước vào năm thứ hai liên tiếp, nhiều kịch bản xung đột đã được dự báo. Trong đó, không loại trừ kịch bản xung đột sẽ tiếp tục leo thang, mở rộng, NATO có thể bị cuốn vào một cuộc xung đột trực tiếp và nguy cơ hạt nhân là vô cùng khó lường. Một kịch bản khác cho rằng xung đột sẽ tiếp tục kéo dài dai dẳng, không bên nào chiếm được ưu thế tuyệt đối trên chiến trường cho tới khi bị phân tán bởi các cuộc bầu cử tổng thống vào năm 2024. Dù phát triển theo kịch bản nào thì xung đột Nga - Ukraine vẫn đang tác động sâu sắc tới toàn cầu. Trong đó, đáng chú ý là cân bằng hạt nhân chiến lược giữa các cường quốc đang đứng trước nguy cơ bị phá vỡ.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Trước tình hình đó, Bộ Ngoại giao Trung Quốc bất ngờ công bố văn bản gồm 12 điểm, nêu rõ lập trường của nước này về một “giải pháp chính trị” cho khủng hoảng tại Ukraine. Bản công bố lập trường gồm 12 điểm của Trung Quốc được đưa ra trong bối cảnh phương Tây bày tỏ lo ngại Trung Quốc có thể đang xem xét cung cấp vũ khí sát thương cho Nga. Tuy nhiên, Trung Quốc đã lên tiếng bác bỏ cáo buộc này.</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Bản kế hoạch ngừng bắn ở Ukraine với 12 điểm do Bộ Ngoại giao Trung Quốc công bố gồm: </w:t>
      </w:r>
      <w:r w:rsidRPr="009F5CEA">
        <w:rPr>
          <w:rFonts w:ascii="Times New Roman" w:hAnsi="Times New Roman"/>
          <w:i/>
          <w:iCs/>
          <w:sz w:val="28"/>
          <w:szCs w:val="28"/>
        </w:rPr>
        <w:t>Thứ nhất</w:t>
      </w:r>
      <w:r w:rsidRPr="009F5CEA">
        <w:rPr>
          <w:rFonts w:ascii="Times New Roman" w:hAnsi="Times New Roman"/>
          <w:sz w:val="28"/>
          <w:szCs w:val="28"/>
        </w:rPr>
        <w:t xml:space="preserve"> là tôn trọng chủ quyền mọi quốc gia: “Luật pháp quốc tế được công nhận rộng rãi, bao gồm các mục đích và nguyên tắc của Hiến chương Liên Hiệp Quốc, phải được tuân thủ nghiêm ngặt. Chủ quyền, độc lập và toàn vẹn lãnh thổ của tất cả các quốc gia phải được bảo vệ một cách hiệu quả”. </w:t>
      </w:r>
      <w:r w:rsidRPr="009F5CEA">
        <w:rPr>
          <w:rFonts w:ascii="Times New Roman" w:hAnsi="Times New Roman"/>
          <w:i/>
          <w:iCs/>
          <w:sz w:val="28"/>
          <w:szCs w:val="28"/>
        </w:rPr>
        <w:t>Thứ 2</w:t>
      </w:r>
      <w:r w:rsidRPr="009F5CEA">
        <w:rPr>
          <w:rFonts w:ascii="Times New Roman" w:hAnsi="Times New Roman"/>
          <w:sz w:val="28"/>
          <w:szCs w:val="28"/>
        </w:rPr>
        <w:t xml:space="preserve"> là cần từ bỏ tâm lý </w:t>
      </w:r>
      <w:hyperlink r:id="rId13" w:tgtFrame="_blank" w:tooltip=" Chiến tranh lạnh lần thứ 2" w:history="1">
        <w:r w:rsidRPr="009F5CEA">
          <w:rPr>
            <w:rFonts w:ascii="Times New Roman" w:hAnsi="Times New Roman"/>
            <w:sz w:val="28"/>
            <w:szCs w:val="28"/>
          </w:rPr>
          <w:t>Chiến tranh lạnh</w:t>
        </w:r>
      </w:hyperlink>
      <w:r w:rsidRPr="009F5CEA">
        <w:rPr>
          <w:rFonts w:ascii="Times New Roman" w:hAnsi="Times New Roman"/>
          <w:sz w:val="28"/>
          <w:szCs w:val="28"/>
        </w:rPr>
        <w:t>.</w:t>
      </w:r>
      <w:r w:rsidRPr="009F5CEA">
        <w:rPr>
          <w:rFonts w:ascii="Times New Roman" w:hAnsi="Times New Roman"/>
          <w:i/>
          <w:iCs/>
          <w:sz w:val="28"/>
          <w:szCs w:val="28"/>
        </w:rPr>
        <w:t xml:space="preserve"> Thứ 3 và thứ 4 </w:t>
      </w:r>
      <w:r w:rsidRPr="009F5CEA">
        <w:rPr>
          <w:rFonts w:ascii="Times New Roman" w:hAnsi="Times New Roman"/>
          <w:sz w:val="28"/>
          <w:szCs w:val="28"/>
        </w:rPr>
        <w:t xml:space="preserve">là dừng các hành động thù địch và nối lại hòa đàm. Trung Quốc cho rằng tất cả các bên nên ủng hộ Nga và Ukraine làm việc theo cùng một hướng và nối lại đối thoại trực tiếp càng sớm càng tốt, để dần dần hạ nhiệt tình hình và cuối cùng đạt được một lệnh ngừng bắn toàn diện. Trung Quốc cho biết sẽ tiếp tục đóng vai trò xây dựng trong việc cam kết về cách tiếp cận đúng đắn trong việc thúc đẩy đối thoại vì hòa bình, giúp các bên trong xung đột mở cánh cửa dàn xếp chính trị và tạo điều kiện, nền tảng để khôi phục đối thoại. </w:t>
      </w:r>
      <w:r w:rsidRPr="009F5CEA">
        <w:rPr>
          <w:rFonts w:ascii="Times New Roman" w:hAnsi="Times New Roman"/>
          <w:i/>
          <w:sz w:val="28"/>
          <w:szCs w:val="28"/>
        </w:rPr>
        <w:t>T</w:t>
      </w:r>
      <w:r w:rsidRPr="009F5CEA">
        <w:rPr>
          <w:rFonts w:ascii="Times New Roman" w:hAnsi="Times New Roman"/>
          <w:i/>
          <w:iCs/>
          <w:sz w:val="28"/>
          <w:szCs w:val="28"/>
        </w:rPr>
        <w:t>hứ 6</w:t>
      </w:r>
      <w:r w:rsidRPr="009F5CEA">
        <w:rPr>
          <w:rFonts w:ascii="Times New Roman" w:hAnsi="Times New Roman"/>
          <w:sz w:val="28"/>
          <w:szCs w:val="28"/>
        </w:rPr>
        <w:t xml:space="preserve">, Trung Quốc kêu gọi nỗ lực giải quyết khủng hoảng nhân đạo và bảo vệ người dân, tù binh chiến tranh. </w:t>
      </w:r>
      <w:r w:rsidRPr="009F5CEA">
        <w:rPr>
          <w:rFonts w:ascii="Times New Roman" w:hAnsi="Times New Roman"/>
          <w:i/>
          <w:sz w:val="28"/>
          <w:szCs w:val="28"/>
        </w:rPr>
        <w:t>T</w:t>
      </w:r>
      <w:r w:rsidRPr="009F5CEA">
        <w:rPr>
          <w:rFonts w:ascii="Times New Roman" w:hAnsi="Times New Roman"/>
          <w:i/>
          <w:iCs/>
          <w:sz w:val="28"/>
          <w:szCs w:val="28"/>
        </w:rPr>
        <w:t>hứ 7 và thứ 8</w:t>
      </w:r>
      <w:r w:rsidRPr="009F5CEA">
        <w:rPr>
          <w:rFonts w:ascii="Times New Roman" w:hAnsi="Times New Roman"/>
          <w:sz w:val="28"/>
          <w:szCs w:val="28"/>
        </w:rPr>
        <w:t xml:space="preserve"> là giữ an toàn cho các nhà máy điện hạt nhân, giảm các nguy cơ chiến lược. </w:t>
      </w:r>
      <w:r w:rsidRPr="009F5CEA">
        <w:rPr>
          <w:rFonts w:ascii="Times New Roman" w:hAnsi="Times New Roman"/>
          <w:i/>
          <w:sz w:val="28"/>
          <w:szCs w:val="28"/>
        </w:rPr>
        <w:t>T</w:t>
      </w:r>
      <w:r w:rsidRPr="009F5CEA">
        <w:rPr>
          <w:rFonts w:ascii="Times New Roman" w:hAnsi="Times New Roman"/>
          <w:i/>
          <w:iCs/>
          <w:sz w:val="28"/>
          <w:szCs w:val="28"/>
        </w:rPr>
        <w:t>hứ 9</w:t>
      </w:r>
      <w:r w:rsidRPr="009F5CEA">
        <w:rPr>
          <w:rFonts w:ascii="Times New Roman" w:hAnsi="Times New Roman"/>
          <w:sz w:val="28"/>
          <w:szCs w:val="28"/>
        </w:rPr>
        <w:t xml:space="preserve"> là về thúc đẩy xuất khẩu ngũ cốc. </w:t>
      </w:r>
      <w:r w:rsidRPr="009F5CEA">
        <w:rPr>
          <w:rFonts w:ascii="Times New Roman" w:hAnsi="Times New Roman"/>
          <w:i/>
          <w:sz w:val="28"/>
          <w:szCs w:val="28"/>
        </w:rPr>
        <w:t>T</w:t>
      </w:r>
      <w:r w:rsidRPr="009F5CEA">
        <w:rPr>
          <w:rFonts w:ascii="Times New Roman" w:hAnsi="Times New Roman"/>
          <w:i/>
          <w:iCs/>
          <w:sz w:val="28"/>
          <w:szCs w:val="28"/>
        </w:rPr>
        <w:t>hứ 10</w:t>
      </w:r>
      <w:r w:rsidRPr="009F5CEA">
        <w:rPr>
          <w:rFonts w:ascii="Times New Roman" w:hAnsi="Times New Roman"/>
          <w:sz w:val="28"/>
          <w:szCs w:val="28"/>
        </w:rPr>
        <w:t xml:space="preserve">, Trung Quốc kêu gọi ngừng cấm vận đơn phương, không được thông qua bởi Hội đồng Bảo an Liên hợp quốc. </w:t>
      </w:r>
      <w:r w:rsidRPr="009F5CEA">
        <w:rPr>
          <w:rFonts w:ascii="Times New Roman" w:hAnsi="Times New Roman"/>
          <w:i/>
          <w:sz w:val="28"/>
          <w:szCs w:val="28"/>
        </w:rPr>
        <w:t>T</w:t>
      </w:r>
      <w:r w:rsidRPr="009F5CEA">
        <w:rPr>
          <w:rFonts w:ascii="Times New Roman" w:hAnsi="Times New Roman"/>
          <w:i/>
          <w:iCs/>
          <w:sz w:val="28"/>
          <w:szCs w:val="28"/>
        </w:rPr>
        <w:t>hứ 11</w:t>
      </w:r>
      <w:r w:rsidRPr="009F5CEA">
        <w:rPr>
          <w:rFonts w:ascii="Times New Roman" w:hAnsi="Times New Roman"/>
          <w:sz w:val="28"/>
          <w:szCs w:val="28"/>
        </w:rPr>
        <w:t xml:space="preserve"> là giữ chuỗi công nghiệp và cung ứng vững chắc. </w:t>
      </w:r>
      <w:r w:rsidRPr="009F5CEA">
        <w:rPr>
          <w:rFonts w:ascii="Times New Roman" w:hAnsi="Times New Roman"/>
          <w:i/>
          <w:iCs/>
          <w:sz w:val="28"/>
          <w:szCs w:val="28"/>
        </w:rPr>
        <w:t>Quan điểm thứ 12</w:t>
      </w:r>
      <w:r w:rsidRPr="009F5CEA">
        <w:rPr>
          <w:rFonts w:ascii="Times New Roman" w:hAnsi="Times New Roman"/>
          <w:sz w:val="28"/>
          <w:szCs w:val="28"/>
        </w:rPr>
        <w:t xml:space="preserve"> là thúc đẩy việc tái thiết hậu xung đột. Trung Quốc sẵn sàng cung cấp sự hỗ trợ và đóng vai trò xây dựng trong nỗ lực này.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lastRenderedPageBreak/>
        <w:t xml:space="preserve">Bản kế hoạch 12 điểm của Trung Quốc đã thu hút sự quan tâm từ chính giới quốc tế. Trong khi Nga lên tiếng “đánh giá cao mong muốn chân thành của những người bạn Trung Quốc” thì giới chức Ukraine cho rằng “đây là một tín hiệu quan trọng” nhưng đặt nghi vấn về “tính trung lập” của Trung Quốc. Mỹ và phương Tây tỏ ra thận trọng đối với kế hoạch của Trung Quốc và dừng ở mức độ xem xét. Các chuyên gia đánh giá, với kế hoạch này Trung Quốc đang thể hiện vai trò nước lớn có trách nhiệm trong bối cảnh tròn một năm xung đột Nga - Ukraine và góp phần bác bỏ những cáo buộc của phương Tây cho rằng Trung Quốc đang xem xét viện trợ vũ khí sát thương cho Nga. </w:t>
      </w:r>
    </w:p>
    <w:p w:rsidR="007F13BA" w:rsidRPr="009F5CEA" w:rsidRDefault="007F13BA" w:rsidP="007F13BA">
      <w:pPr>
        <w:widowControl w:val="0"/>
        <w:spacing w:after="0" w:line="240" w:lineRule="auto"/>
        <w:ind w:firstLine="567"/>
        <w:jc w:val="both"/>
        <w:rPr>
          <w:rFonts w:ascii="Times New Roman" w:hAnsi="Times New Roman"/>
          <w:b/>
          <w:bCs/>
          <w:sz w:val="28"/>
          <w:szCs w:val="28"/>
        </w:rPr>
      </w:pPr>
      <w:r w:rsidRPr="009F5CEA">
        <w:rPr>
          <w:rFonts w:ascii="Times New Roman" w:hAnsi="Times New Roman"/>
          <w:b/>
          <w:bCs/>
          <w:sz w:val="28"/>
          <w:szCs w:val="28"/>
        </w:rPr>
        <w:t xml:space="preserve">5. Một số tình hình thế giới thời gian gần đây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i/>
          <w:iCs/>
          <w:sz w:val="28"/>
          <w:szCs w:val="28"/>
        </w:rPr>
        <w:t>- Triều Tiên đã phóng một tên lửa đạn đạo tầm ngắn ra biển Hoàng Hải và tổ chức cuộc tập trận tấn công hỏa lực của đơn vị pháo binh Hwasong dưới sự chỉ đạo của nhà lãnh đạo Kim Jong-un vào ngày 09/3/2023</w:t>
      </w:r>
      <w:r w:rsidRPr="009F5CEA">
        <w:rPr>
          <w:rFonts w:ascii="Times New Roman" w:hAnsi="Times New Roman"/>
          <w:sz w:val="28"/>
          <w:szCs w:val="28"/>
        </w:rPr>
        <w:t>. Đây là vụ phóng tên lửa đạn đạo thứ 4 của Triều Tiên trong năm 2023. Cuộc tập</w:t>
      </w:r>
      <w:r w:rsidRPr="009F5CEA">
        <w:rPr>
          <w:rFonts w:ascii="Times New Roman" w:hAnsi="Times New Roman"/>
          <w:sz w:val="28"/>
          <w:szCs w:val="28"/>
          <w:lang w:val="vi-VN"/>
        </w:rPr>
        <w:t xml:space="preserve"> trận</w:t>
      </w:r>
      <w:r w:rsidRPr="009F5CEA">
        <w:rPr>
          <w:rFonts w:ascii="Times New Roman" w:hAnsi="Times New Roman"/>
          <w:sz w:val="28"/>
          <w:szCs w:val="28"/>
        </w:rPr>
        <w:t xml:space="preserve"> trên được tiến hành trong bối cảnh Mỹ và Hàn Quốc đang chuẩn bị tiến hành cuộc tập trận Lá chắn Tự do từ ngày 13 - 23/3/2023. Cuộc tập trận sẽ được tiến hành song song với diễn tập quy mô lớn mang tên Lá chắn Chiến binh. Trước loạt động thái từ Triều Tiên, Người phát ngôn Bộ Ngoại giao Mỹ Ned Price cảnh báo Triều Tiên sẽ tiếp tục lãnh hậu quả gia tăng nếu không thay đổi cách hành xử. Ngày 12/3/2023, Hãng thông tấn Trung ương Triều Tiên (KCNA) đưa tin, tại Hội nghị mở rộng lần thứ 5, Quân ủy Trung ương Đảng Lao động Triều Tiên </w:t>
      </w:r>
      <w:r w:rsidRPr="009F5CEA">
        <w:rPr>
          <w:rFonts w:ascii="Times New Roman" w:hAnsi="Times New Roman"/>
          <w:sz w:val="28"/>
          <w:szCs w:val="28"/>
          <w:lang w:val="vi-VN"/>
        </w:rPr>
        <w:t>k</w:t>
      </w:r>
      <w:r w:rsidRPr="009F5CEA">
        <w:rPr>
          <w:rFonts w:ascii="Times New Roman" w:hAnsi="Times New Roman"/>
          <w:sz w:val="28"/>
          <w:szCs w:val="28"/>
        </w:rPr>
        <w:t>hóa VIII dưới sự chủ trì của nhà lãnh đạo </w:t>
      </w:r>
      <w:hyperlink r:id="rId14" w:history="1">
        <w:r w:rsidRPr="009F5CEA">
          <w:rPr>
            <w:rFonts w:ascii="Times New Roman" w:hAnsi="Times New Roman"/>
            <w:sz w:val="28"/>
            <w:szCs w:val="28"/>
          </w:rPr>
          <w:t>Kim Jong-un</w:t>
        </w:r>
      </w:hyperlink>
      <w:r w:rsidRPr="009F5CEA">
        <w:rPr>
          <w:rFonts w:ascii="Times New Roman" w:hAnsi="Times New Roman"/>
          <w:sz w:val="28"/>
          <w:szCs w:val="28"/>
        </w:rPr>
        <w:t>, Triều Tiên đã quyết định triển khai “các biện pháp quan trọng, thực chất nhằm sử dụng năng lực răn đe </w:t>
      </w:r>
      <w:hyperlink r:id="rId15" w:history="1">
        <w:r w:rsidRPr="009F5CEA">
          <w:rPr>
            <w:rFonts w:ascii="Times New Roman" w:hAnsi="Times New Roman"/>
            <w:sz w:val="28"/>
            <w:szCs w:val="28"/>
          </w:rPr>
          <w:t>chiến tranh</w:t>
        </w:r>
      </w:hyperlink>
      <w:r w:rsidRPr="009F5CEA">
        <w:rPr>
          <w:rFonts w:ascii="Times New Roman" w:hAnsi="Times New Roman"/>
          <w:sz w:val="28"/>
          <w:szCs w:val="28"/>
        </w:rPr>
        <w:t> của đất nước một cách hiệu quả, mạnh mẽ và mang tính tiến công cao hơn khi phải đối mặt với tình hình hiện nay, trong đó, những hành động khiêu khích chiến tranh của Mỹ và Hàn Quốc sắp chạm tới lằn ranh đỏ”.</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i/>
          <w:iCs/>
          <w:sz w:val="28"/>
          <w:szCs w:val="28"/>
        </w:rPr>
        <w:t xml:space="preserve"> - Tại trụ sở Liên hợp quốc ở New York vào ngày 03/3/2023, đại diện từ gần 200 quốc gia đã cùng ký kết một hiệp ước lịch sử nhằm bảo vệ sự đa dạng sinh học đại dương. </w:t>
      </w:r>
      <w:r w:rsidRPr="009F5CEA">
        <w:rPr>
          <w:rFonts w:ascii="Times New Roman" w:hAnsi="Times New Roman"/>
          <w:sz w:val="28"/>
          <w:szCs w:val="28"/>
        </w:rPr>
        <w:t>Theo văn bản hiệp ước, 30% đại dương trên thế giới sẽ trở thành khu vực được bảo vệ vào năm 2030. Điều đó đồng nghĩa với việc các nước sẽ cùng nhau đưa ra những quy định hạn chế nghiêm trọng đối với việc sử dụng vùng biển này, có thể bao gồm lệnh cấm hoàn toàn các hoạt động đánh bắt và thăm dò như khai thác dưới biển sâu. Cơ quan quản lý đáy biển quốc tế sẽ đảm bảo rằng bất kỳ hoạt động nào trong tương lai dưới đáy biển sâu sẽ phải tuân theo các quy định và giám sát nghiêm ngặt về môi trường để đảm bảo rằng chúng được thực hiện bền vững và có trách nhiệm.</w:t>
      </w:r>
    </w:p>
    <w:p w:rsidR="007F13BA" w:rsidRPr="009F5CEA" w:rsidRDefault="007F13BA" w:rsidP="007F13BA">
      <w:pPr>
        <w:widowControl w:val="0"/>
        <w:spacing w:after="0" w:line="240" w:lineRule="auto"/>
        <w:ind w:firstLine="567"/>
        <w:jc w:val="both"/>
        <w:rPr>
          <w:rFonts w:ascii="Times New Roman" w:hAnsi="Times New Roman"/>
          <w:b/>
          <w:sz w:val="28"/>
          <w:szCs w:val="28"/>
        </w:rPr>
      </w:pPr>
      <w:r w:rsidRPr="009F5CEA">
        <w:rPr>
          <w:rFonts w:ascii="Times New Roman" w:hAnsi="Times New Roman"/>
          <w:i/>
          <w:sz w:val="28"/>
          <w:szCs w:val="28"/>
        </w:rPr>
        <w:t>- Trung Quốc đã chính thức công bố nội dung cụ thể của Sáng kiến An ninh Toàn cầu (GSI).</w:t>
      </w:r>
      <w:r w:rsidRPr="009F5CEA">
        <w:rPr>
          <w:rFonts w:ascii="Times New Roman" w:hAnsi="Times New Roman"/>
          <w:sz w:val="28"/>
          <w:szCs w:val="28"/>
        </w:rPr>
        <w:t xml:space="preserve"> GSI dựa trên các nguyên tắc thiết yếu: (1) chia sẻ tầm nhìn về an ninh chung, toàn diện, hợp tác và bền vững; (2) tôn trọng chủ quyền và toàn vẹn lãnh thổ của tất cả các quốc gia; (3) tuân thủ các mục đích và nguyên tắc của Hiến chương Liên hợp quốc; (4) coi trọng mối quan tâm an ninh hợp pháp của tất cả các quốc gia; (5) giải quyết hòa bình các khác biệt và tranh chấp giữa các nước thông qua đối thoại và tham vấn; và (6) duy trì an ninh trong cả lĩnh vực truyền thống và phi truyền thống. Bộ trưởng Ngoại giao Trung Quốc Tần Cương nhấn mạnh, GSI đề cao tầm nhìn về an ninh chung, toàn diện, hợp tác và bền vững; theo đuổi mục tiêu dài hạn là xây dựng một cộng đồng an ninh và ủng hộ một lộ trình mới cho an </w:t>
      </w:r>
      <w:r w:rsidRPr="009F5CEA">
        <w:rPr>
          <w:rFonts w:ascii="Times New Roman" w:hAnsi="Times New Roman"/>
          <w:sz w:val="28"/>
          <w:szCs w:val="28"/>
        </w:rPr>
        <w:lastRenderedPageBreak/>
        <w:t>ninh với đối thoại thay vì đối đầu, hợp tác thay vì liên minh và trên cơ sở đôi bên cùng có lợi. GSI thể hiện các nguyên lý cốt lõi trong tầm nhìn về một cộng đồng chung vận mệnh.</w:t>
      </w:r>
    </w:p>
    <w:p w:rsidR="007F13BA" w:rsidRPr="007F13BA" w:rsidRDefault="007F13BA" w:rsidP="007F13BA">
      <w:pPr>
        <w:spacing w:after="0" w:line="240" w:lineRule="auto"/>
        <w:ind w:firstLine="567"/>
        <w:jc w:val="both"/>
        <w:rPr>
          <w:rFonts w:ascii="Times New Roman" w:hAnsi="Times New Roman"/>
          <w:b/>
          <w:sz w:val="28"/>
          <w:szCs w:val="28"/>
        </w:rPr>
      </w:pPr>
      <w:r w:rsidRPr="007F13BA">
        <w:rPr>
          <w:rFonts w:ascii="Times New Roman" w:hAnsi="Times New Roman"/>
          <w:b/>
          <w:sz w:val="28"/>
          <w:szCs w:val="28"/>
        </w:rPr>
        <w:t>II. THÔNG TIN THỜI SỰ</w:t>
      </w:r>
      <w:r w:rsidRPr="007F13BA">
        <w:rPr>
          <w:rFonts w:ascii="Times New Roman" w:hAnsi="Times New Roman"/>
          <w:b/>
          <w:sz w:val="28"/>
          <w:szCs w:val="28"/>
        </w:rPr>
        <w:t xml:space="preserve"> TRONG NƯỚC</w:t>
      </w:r>
    </w:p>
    <w:p w:rsidR="007F13BA" w:rsidRPr="009F5CEA" w:rsidRDefault="007F13BA" w:rsidP="007F13BA">
      <w:pPr>
        <w:spacing w:after="0" w:line="240" w:lineRule="auto"/>
        <w:ind w:firstLine="567"/>
        <w:jc w:val="both"/>
        <w:rPr>
          <w:rFonts w:ascii="Times New Roman" w:hAnsi="Times New Roman"/>
          <w:b/>
          <w:sz w:val="28"/>
          <w:szCs w:val="28"/>
        </w:rPr>
      </w:pPr>
      <w:r w:rsidRPr="009F5CEA">
        <w:rPr>
          <w:rFonts w:ascii="Times New Roman" w:hAnsi="Times New Roman"/>
          <w:b/>
          <w:sz w:val="28"/>
          <w:szCs w:val="28"/>
        </w:rPr>
        <w:t>1. Chương trình hành động thực hiện Nghị quyết số 19-NQ/TW</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Nhằm c</w:t>
      </w:r>
      <w:r w:rsidRPr="009F5CEA">
        <w:rPr>
          <w:rFonts w:ascii="Times New Roman" w:hAnsi="Times New Roman"/>
          <w:sz w:val="28"/>
          <w:szCs w:val="28"/>
          <w:shd w:val="clear" w:color="auto" w:fill="FFFFFF"/>
        </w:rPr>
        <w:t xml:space="preserve">ụ thể hóa và triển khai thực hiện quan điểm, chủ trương tại Nghị quyết Đại hội XIII của Đảng về phát triển “nông nghiệp sinh thái, nông thôn hiện đại, nông dân văn minh” và </w:t>
      </w:r>
      <w:r w:rsidRPr="009F5CEA">
        <w:rPr>
          <w:rFonts w:ascii="Times New Roman" w:hAnsi="Times New Roman"/>
          <w:sz w:val="28"/>
          <w:szCs w:val="28"/>
          <w:shd w:val="clear" w:color="auto" w:fill="FFFFFF"/>
          <w:lang w:val="vi-VN"/>
        </w:rPr>
        <w:t>Nghị quyết số 19-NQ/TW</w:t>
      </w:r>
      <w:r w:rsidRPr="009F5CEA">
        <w:rPr>
          <w:rFonts w:ascii="Times New Roman" w:hAnsi="Times New Roman"/>
          <w:sz w:val="28"/>
          <w:szCs w:val="28"/>
          <w:shd w:val="clear" w:color="auto" w:fill="FFFFFF"/>
        </w:rPr>
        <w:t>, ngày 16/6/2022 của Ban Chấp hành Trung ương</w:t>
      </w:r>
      <w:r w:rsidRPr="009F5CEA">
        <w:rPr>
          <w:rFonts w:ascii="Times New Roman" w:hAnsi="Times New Roman"/>
          <w:sz w:val="28"/>
          <w:szCs w:val="28"/>
          <w:shd w:val="clear" w:color="auto" w:fill="FFFFFF"/>
          <w:lang w:val="vi-VN"/>
        </w:rPr>
        <w:t xml:space="preserve"> về nông nghiệp, nông dân, nông thôn đến năm 2030, tầm nhìn đến năm 2045, Chính phủ </w:t>
      </w:r>
      <w:r w:rsidRPr="009F5CEA">
        <w:rPr>
          <w:rFonts w:ascii="Times New Roman" w:hAnsi="Times New Roman"/>
          <w:sz w:val="28"/>
          <w:szCs w:val="28"/>
          <w:shd w:val="clear" w:color="auto" w:fill="FFFFFF"/>
        </w:rPr>
        <w:t xml:space="preserve">đã </w:t>
      </w:r>
      <w:r w:rsidRPr="009F5CEA">
        <w:rPr>
          <w:rFonts w:ascii="Times New Roman" w:hAnsi="Times New Roman"/>
          <w:sz w:val="28"/>
          <w:szCs w:val="28"/>
          <w:shd w:val="clear" w:color="auto" w:fill="FFFFFF"/>
          <w:lang w:val="vi-VN"/>
        </w:rPr>
        <w:t xml:space="preserve">ban hành Chương trình hành động </w:t>
      </w:r>
      <w:r w:rsidRPr="009F5CEA">
        <w:rPr>
          <w:rFonts w:ascii="Times New Roman" w:hAnsi="Times New Roman"/>
          <w:sz w:val="28"/>
          <w:szCs w:val="28"/>
          <w:shd w:val="clear" w:color="auto" w:fill="FFFFFF"/>
        </w:rPr>
        <w:t>(</w:t>
      </w:r>
      <w:r w:rsidRPr="009F5CEA">
        <w:rPr>
          <w:rFonts w:ascii="Times New Roman" w:hAnsi="Times New Roman"/>
          <w:i/>
          <w:iCs/>
          <w:sz w:val="28"/>
          <w:szCs w:val="28"/>
          <w:shd w:val="clear" w:color="auto" w:fill="FFFFFF"/>
          <w:lang w:val="vi-VN"/>
        </w:rPr>
        <w:t>Nghị quyết số </w:t>
      </w:r>
      <w:r w:rsidRPr="009F5CEA">
        <w:rPr>
          <w:rFonts w:ascii="Times New Roman" w:hAnsi="Times New Roman"/>
          <w:i/>
          <w:iCs/>
          <w:sz w:val="28"/>
          <w:szCs w:val="28"/>
          <w:shd w:val="clear" w:color="auto" w:fill="FFFFFF"/>
        </w:rPr>
        <w:t>26</w:t>
      </w:r>
      <w:r w:rsidRPr="009F5CEA">
        <w:rPr>
          <w:rFonts w:ascii="Times New Roman" w:hAnsi="Times New Roman"/>
          <w:i/>
          <w:iCs/>
          <w:sz w:val="28"/>
          <w:szCs w:val="28"/>
          <w:shd w:val="clear" w:color="auto" w:fill="FFFFFF"/>
          <w:lang w:val="vi-VN"/>
        </w:rPr>
        <w:t>/NQ-CP</w:t>
      </w:r>
      <w:r w:rsidRPr="009F5CEA">
        <w:rPr>
          <w:rFonts w:ascii="Times New Roman" w:hAnsi="Times New Roman"/>
          <w:i/>
          <w:iCs/>
          <w:sz w:val="28"/>
          <w:szCs w:val="28"/>
          <w:shd w:val="clear" w:color="auto" w:fill="FFFFFF"/>
        </w:rPr>
        <w:t>,</w:t>
      </w:r>
      <w:r w:rsidRPr="009F5CEA">
        <w:rPr>
          <w:rFonts w:ascii="Times New Roman" w:hAnsi="Times New Roman"/>
          <w:i/>
          <w:iCs/>
          <w:sz w:val="28"/>
          <w:szCs w:val="28"/>
          <w:shd w:val="clear" w:color="auto" w:fill="FFFFFF"/>
          <w:lang w:val="vi-VN"/>
        </w:rPr>
        <w:t xml:space="preserve"> ngày </w:t>
      </w:r>
      <w:r w:rsidRPr="009F5CEA">
        <w:rPr>
          <w:rFonts w:ascii="Times New Roman" w:hAnsi="Times New Roman"/>
          <w:i/>
          <w:iCs/>
          <w:sz w:val="28"/>
          <w:szCs w:val="28"/>
          <w:shd w:val="clear" w:color="auto" w:fill="FFFFFF"/>
        </w:rPr>
        <w:t>27/</w:t>
      </w:r>
      <w:r w:rsidRPr="009F5CEA">
        <w:rPr>
          <w:rFonts w:ascii="Times New Roman" w:hAnsi="Times New Roman"/>
          <w:i/>
          <w:iCs/>
          <w:sz w:val="28"/>
          <w:szCs w:val="28"/>
          <w:shd w:val="clear" w:color="auto" w:fill="FFFFFF"/>
          <w:lang w:val="vi-VN"/>
        </w:rPr>
        <w:t>02</w:t>
      </w:r>
      <w:r w:rsidRPr="009F5CEA">
        <w:rPr>
          <w:rFonts w:ascii="Times New Roman" w:hAnsi="Times New Roman"/>
          <w:i/>
          <w:iCs/>
          <w:sz w:val="28"/>
          <w:szCs w:val="28"/>
          <w:shd w:val="clear" w:color="auto" w:fill="FFFFFF"/>
        </w:rPr>
        <w:t>/</w:t>
      </w:r>
      <w:r w:rsidRPr="009F5CEA">
        <w:rPr>
          <w:rFonts w:ascii="Times New Roman" w:hAnsi="Times New Roman"/>
          <w:i/>
          <w:iCs/>
          <w:sz w:val="28"/>
          <w:szCs w:val="28"/>
          <w:shd w:val="clear" w:color="auto" w:fill="FFFFFF"/>
          <w:lang w:val="vi-VN"/>
        </w:rPr>
        <w:t>2023 của Chính phủ</w:t>
      </w:r>
      <w:r w:rsidRPr="009F5CEA">
        <w:rPr>
          <w:rFonts w:ascii="Times New Roman" w:hAnsi="Times New Roman"/>
          <w:sz w:val="28"/>
          <w:szCs w:val="28"/>
          <w:shd w:val="clear" w:color="auto" w:fill="FFFFFF"/>
        </w:rPr>
        <w:t xml:space="preserve">) </w:t>
      </w:r>
      <w:r w:rsidRPr="009F5CEA">
        <w:rPr>
          <w:rFonts w:ascii="Times New Roman" w:hAnsi="Times New Roman"/>
          <w:sz w:val="28"/>
          <w:szCs w:val="28"/>
          <w:shd w:val="clear" w:color="auto" w:fill="FFFFFF"/>
          <w:lang w:val="vi-VN"/>
        </w:rPr>
        <w:t xml:space="preserve">với </w:t>
      </w:r>
      <w:r w:rsidRPr="009F5CEA">
        <w:rPr>
          <w:rStyle w:val="Emphasis"/>
          <w:rFonts w:ascii="Times New Roman" w:hAnsi="Times New Roman"/>
          <w:i w:val="0"/>
          <w:sz w:val="28"/>
          <w:szCs w:val="28"/>
        </w:rPr>
        <w:t>các nhiệm vụ, giải pháp chủ yếu</w:t>
      </w:r>
      <w:r w:rsidRPr="009F5CEA">
        <w:rPr>
          <w:rFonts w:ascii="Times New Roman" w:hAnsi="Times New Roman"/>
          <w:sz w:val="28"/>
          <w:szCs w:val="28"/>
        </w:rPr>
        <w:t xml:space="preserve"> sau: </w:t>
      </w:r>
    </w:p>
    <w:p w:rsidR="007F13BA" w:rsidRPr="009F5CEA" w:rsidRDefault="007F13BA" w:rsidP="007F13BA">
      <w:pPr>
        <w:pStyle w:val="ListParagraph"/>
        <w:spacing w:after="0" w:line="240" w:lineRule="auto"/>
        <w:ind w:left="0" w:firstLine="567"/>
        <w:jc w:val="both"/>
        <w:rPr>
          <w:rFonts w:ascii="Times New Roman" w:hAnsi="Times New Roman"/>
          <w:sz w:val="28"/>
          <w:szCs w:val="28"/>
        </w:rPr>
      </w:pPr>
      <w:r w:rsidRPr="009F5CEA">
        <w:rPr>
          <w:rFonts w:ascii="Times New Roman" w:hAnsi="Times New Roman"/>
          <w:sz w:val="28"/>
          <w:szCs w:val="28"/>
        </w:rPr>
        <w:t>Xây dựng, tổ chức các chương trình tuyên truyền, học tập, quán triệt thông qua các phương tiện truyền thông, các hội nghị, hội thảo và các hình thức khác để phổ biến, nâng cao nhận thức về các mục tiêu, định hướng và giải pháp đã đề ra tại Nghị quyết số 19-NQ/TW và Chiến lược phát triển nông nghiệp và nông thôn và các chủ trương, đường lối, chính sách của Đảng, Nhà nước về nông nghiệp, nông dân, nông thôn cho các cơ quan nhà nước, các đơn vị sự nghiệp, các địa phương, các doanh nghiệp, hợp tác xã và người dân.</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Đào tạo, phát triển nguồn nhân lực; tạo việc làm tại chỗ cho lao động nông thôn; nâng cao vai trò, vị thế, năng lực làm chủ, cải thiện toàn diện đời sống của nông dân và cư dân nông thôn.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Thực hiện đột phá chiến lược trong phát triển cơ sở hạ tầng nông nghiệp, nông thôn; xây dựng nông thôn theo hướng hiện đại gắn với đô thị hóa; xây dựng đời sống văn hóa, bảo vệ và phát huy giá trị di sản văn hóa khu vực nông thôn; phát triển công nghiệp, dịch vụ, du lịch, chuyển dịch cơ cấu kinh tế nông thôn.</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Nâng cao trình độ khoa học - công nghệ, đẩy mạnh chuyển đổi số, đổi mới sáng tạo để phát triển nền nông nghiệp hiệu quả, bền vững theo hướng sinh thái, nâng cao chất lượng, giá trị gia tăng</w:t>
      </w:r>
    </w:p>
    <w:p w:rsidR="007F13BA" w:rsidRPr="009F5CEA" w:rsidRDefault="007F13BA" w:rsidP="007F13BA">
      <w:pPr>
        <w:widowControl w:val="0"/>
        <w:spacing w:after="0" w:line="240" w:lineRule="auto"/>
        <w:ind w:firstLine="567"/>
        <w:jc w:val="both"/>
        <w:rPr>
          <w:rFonts w:ascii="Times New Roman" w:hAnsi="Times New Roman"/>
          <w:spacing w:val="-2"/>
          <w:sz w:val="28"/>
          <w:szCs w:val="28"/>
        </w:rPr>
      </w:pPr>
      <w:r w:rsidRPr="009F5CEA">
        <w:rPr>
          <w:rFonts w:ascii="Times New Roman" w:hAnsi="Times New Roman"/>
          <w:spacing w:val="-2"/>
          <w:sz w:val="28"/>
          <w:szCs w:val="28"/>
        </w:rPr>
        <w:t xml:space="preserve">Hoàn thiện thể chế, chính sách về nông nghiệp, nông dân, nông thôn. Rà soát các cơ chế, chính sách hiện hành bảo đảm phù hợp với các chủ trương, định hướng, nhiệm vụ tại Nghị quyết số 19-NQ/TW và Chiến lược phát triển nông nghiệp và nông thôn để đề xuất điều chỉnh và tổ chức triển khai toàn diện, có hiệu quả.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Đổi mới tổ chức, hợp tác, liên kết sản xuất theo chuỗi giá trị; phát triển thị trường trong nước và nâng cao hiệu quả xuất khẩu, mở rộng thị trường tiêu thụ. Đẩy mạnh đổi mới và tổ chức lại sản xuất ngành nông nghiệp theo mô hình hợp tác xã hợp tác, liên kết với doanh nghiệp theo chuỗi giá trị, tích hợp đa giá trị, liên ngành, liên vùng.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Nâng cao hiệu quả quản lý, sử dụng tài nguyên, bảo vệ môi trường nông thôn, nâng cao khả năng thích ứng với biến đổi khí hậu. Xây dựng cơ sở dữ liệu số hóa về tài nguyên lĩnh vực nông nghiệp, nông thôn, có cơ chế và chế tài cho việc cập nhật thường xuyên và phân quyền truy cập phù hợp.</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Xây dựng, thực hiện các chương trình, đề án nhằm nâng cao năng lực, hiệu quả hội nhập kinh tế quốc tế về nông nghiệp, nông thôn cho các cơ quan, đơn vị, tổ chức liên quan. Tổ chức phổ biến, hỗ trợ thực hiện và giám sát triển khai hiệu quả các điều ước và thỏa thuận quốc tế song phương, đa phương. </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lastRenderedPageBreak/>
        <w:t>Bám sát các mục tiêu của Nghị quyết số 19-NQ/TW và Chương trình hành động của Chính phủ, làm cơ sở giám sát thường xuyên và đánh giá định kỳ việc thực hiện Nghị quyết. Giám sát, đánh giá các chương trình, đề án, dự án tiến hành định kỳ 5 năm, hàng năm hoặc đột xuất…</w:t>
      </w:r>
    </w:p>
    <w:p w:rsidR="007F13BA" w:rsidRPr="009F5CEA" w:rsidRDefault="007F13BA" w:rsidP="007F13BA">
      <w:pPr>
        <w:spacing w:after="0" w:line="240" w:lineRule="auto"/>
        <w:ind w:firstLine="567"/>
        <w:jc w:val="both"/>
        <w:rPr>
          <w:rFonts w:ascii="Times New Roman" w:hAnsi="Times New Roman"/>
          <w:b/>
          <w:sz w:val="28"/>
          <w:szCs w:val="28"/>
        </w:rPr>
      </w:pPr>
      <w:r w:rsidRPr="009F5CEA">
        <w:rPr>
          <w:rFonts w:ascii="Times New Roman" w:hAnsi="Times New Roman"/>
          <w:b/>
          <w:sz w:val="28"/>
          <w:szCs w:val="28"/>
        </w:rPr>
        <w:t>2. Kế hoạch quốc gia ứng phó sự cố chất thải giai đoạn 2023 - 2030</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Để đảm bảo sự chỉ đạo tập trung, thống nhất trong quản lý nhà nước về ứng phó khắc phục sự cố chất thải; huy động và sử dụng hiệu quả các nguồn lực, ứng phó, khắc phục hậu quả kịp thời; phối hợp chặt chẽ các cơ quan chức năng từ Trung ương đến địa phương trong việc huy động, sử dụng các nguồn lực ứng phó, khắc phục hậu quả khi xảy ra sự cố chất thải…; các bộ, ngành, địa phương được giao nhiệm vụ trong Kế hoạch quốc gia ứng phó sự cố chất thải giai đoạn 2023 - 2030 (ban hành theo Quyết định 146/QĐ-TTg, ngày 23/02/2023 của Thủ tướng Chính phủ) như sau: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Ủy ban Quốc gia Ứng phó sự cố, thiên tai và Tìm kiếm cứu nạn chủ trì, giúp Thủ tướng Chính phủ chỉ đạo các bộ, ngành và địa phương triển khai thực hiện Kế hoạch quốc gia ứng phó sự cố chất thải; kiểm tra, đôn đốc việc chuẩn bị và sẵn sàng tổ chức ứng phó sự cố; tổ chức huấn luyện, diễn tập ứng phó sự cố chất thải.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Bộ Quốc phòng chủ trì, phối hợp với các bộ, ngành và địa phương hướng dẫn xây dựng, tổ chức lực lượng ứng phó; đề xuất Chính phủ đầu tư mua sắm trang thiết bị, vật tư chuyên dụng để nâng cao năng lực ứng phó cho các lực lượng chuyên trách, kiêm nhiệm và các đơn vị có liên quan, sẵn sàng ứng phó sự cố chất thải cấp quốc gia. Hằng năm tổ chức tập huấn, huấn luyện, diễn tập, đào tạo lực lượng chuyên trách, kiêm nhiệm; phối hợp và làm tốt công tác truyền thông, tuyên truyền nâng cao nhận thức cộng đồng về bảo vệ môi trường.</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Bộ Công an chủ trì, chỉ đạo cơ quan Cảnh sát phòng, chống tội phạm môi trường, Cảnh sát phòng cháy, chữa cháy và cứu nạn, cứu hộ, Cảnh sát điều tra các cấp, Công an các đơn vị, địa phương sẵn sàng tham gia ứng phó sự cố chất thải theo yêu cầu của cơ quan, cấp có thẩm quyền. Định kỳ tổ chức tập huấn, huấn luyện, diễn tập, đào tạo lực lượng chuyên trách, kiêm nhiệm ứng phó sự cố chất thải (lồng ghép xây dựng kế hoạch, tập huấn, huấn luyện, diễn tập trong các kế hoạch khác của Bộ); phối hợp và làm tốt công tác truyền thông, tuyên truyền nâng cao nhận thức cộng đồng về bảo vệ môi trường.</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Bộ Tài nguyên và Môi trường chủ trì, tham mưu cho Chính phủ thống nhất quản lý nhà nước về ứng phó sự cố chất thải; xây dựng và hoàn thiện đồng bộ hệ thống văn bản quy phạm pháp luật, hướng dẫn triển khai có hiệu quả Luật Bảo vệ môi trường năm 2020. Phối hợp với các bộ, ngành, địa phương hướng dẫn việc xác định thiệt hại về người, tài sản và môi trường; hướng dẫn các địa phương khắc phục hậu quả, phục hồi môi trường sau sự cố...</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Bộ Công Thương chủ trì, tham mưu Ủy ban Quốc gia Ứng phó sự cố, thiên tai và Tìm kiếm cứu nạn tổ chức hoạt động ứng phó, khắc phục hậu quả sự cố chất thải cấp quốc gia do rò rỉ, phát tán hóa chất độc trong lĩnh vực công nghiệp. Chủ trì, phối hợp với các bộ, ngành và địa phương hướng dẫn các cơ quan, đơn vị và địa phương về phòng ngừa, ứng phó, khắc phục hậu quả sự cố chất thải do rò rỉ, phát tán hóa chất độc trong lĩnh vực công nghiệp.</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Bộ Nông nghiệp và Phát triển nông thôn hướng dẫn, chỉ đạo ứng phó, khắc phục hậu quả sự cố chất thải trong phạm vi quản lý; tổ chức tập huấn, diễn tập, </w:t>
      </w:r>
      <w:r w:rsidRPr="009F5CEA">
        <w:rPr>
          <w:rFonts w:ascii="Times New Roman" w:hAnsi="Times New Roman"/>
          <w:sz w:val="28"/>
          <w:szCs w:val="28"/>
        </w:rPr>
        <w:lastRenderedPageBreak/>
        <w:t>tuyên truyền nâng cao nhận thức cộng đồng về ứng phó, khắc phục sự cố chất thải và bảo vệ môi trường trong lĩnh vực nông nghiệp và phát triển nông thôn.</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Bộ Giao thông vận tải chủ trì, phối hợp với Bộ Quốc phòng, các bộ, ngành và địa phương triển khai các phương án về sử dụng hạ tầng giao thông, các trang thiết bị, phương tiện, vật tư vận tải trong phạm vi phụ trách tham gia ứng phó sự cố môi trường theo chỉ đạo của Ủy ban Quốc gia Ứng phó sự cố, thiên tai và Tìm kiếm cứu nạn. Chủ trì, phối hợp với các bộ, ngành, địa phương liên hành hoặc trình cấp có thẩm quyền ban hành các văn bản quy phạm pháp luật tiêu chuẩn, quy chuẩn kỹ thuật về bảo vệ môi trường với các phương tiện tham gia giao thông. </w:t>
      </w:r>
    </w:p>
    <w:p w:rsidR="007F13BA" w:rsidRPr="009F5CEA" w:rsidRDefault="007F13BA" w:rsidP="007F13BA">
      <w:pPr>
        <w:widowControl w:val="0"/>
        <w:spacing w:after="0" w:line="240" w:lineRule="auto"/>
        <w:ind w:firstLine="567"/>
        <w:jc w:val="both"/>
        <w:rPr>
          <w:rFonts w:ascii="Times New Roman" w:hAnsi="Times New Roman"/>
          <w:spacing w:val="-4"/>
          <w:sz w:val="28"/>
          <w:szCs w:val="28"/>
        </w:rPr>
      </w:pPr>
      <w:r w:rsidRPr="009F5CEA">
        <w:rPr>
          <w:rFonts w:ascii="Times New Roman" w:hAnsi="Times New Roman"/>
          <w:spacing w:val="-4"/>
          <w:sz w:val="28"/>
          <w:szCs w:val="28"/>
        </w:rPr>
        <w:t xml:space="preserve">Bộ Y tế quy định chi tiết việc phân loại, thu gom, lưu giữ và quản lý chất thải y tế trong phạm vi khuôn viên cơ sở y tế. Chỉ đạo, tăng cường công tác phòng ngừa ứng phó sự cố môi trường do chất thải y tế trong phạm vi khuôn viên cơ sở y tế. Nghiên cứu, đánh giá các nguy cơ lây nhiễm đối với chất thải y tế và xây dựng các biện pháp phòng ngừa tương ứng. </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Bộ Khoa học và Công nghệ chủ trì, tham mưu cho Ủy ban Quốc gia Ứng phó sự cố, thiên tai và Tìm kiếm cứu nạn tổ chức hoạt động, tham gia ứng phó sự cố liên quan đến chất thải phóng xạ cấp quốc gia do kinh doanh, vận chuyển, rò rỉ chất phóng xạ. Chủ trì, phối hợp với các bộ, ngành và địa phương hướng dẫn công tác phòng ngừa, ứng phó, khắc phục hậu quả sự cố liên quan đến chất thải phóng xạ do kinh doanh, vận chuyển, rò rỉ chất phóng xạ. </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Bộ Thông tin và Truyền thông chỉ đạo các cơ quan, đơn vị chức năng tuyên truyền, phổ biến nâng cao nhận thức, trách nhiệm cho toàn dân về phòng ngừa, ứng phó sự cố chất thải. Chủ trì, chỉ đạo các cơ quan, đơn vị chức năng thuộc quyền phối hợp với các bộ, ngành và địa phương tổ chức bảo đảm thông tin liên lạc, phục vụ công tác chỉ đạo, điều hành các hoạt động ứng phó, tìm kiếm cứu nạn.</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Bộ Ngoại giao chỉ đạo các cơ quan, đơn vị chức năng có thẩm quyền phối hợp, giải quyết thủ tục cho đơn vị ứng phó sự cố chất thải của Việt Nam tham gia hỗ trợ quốc tế và lực lượng hỗ trợ ứng phó của nước ngoài tham gia hỗ trợ ứng phó tại Việt Nam. Trao đổi thông tin, yêu cầu phối hợp hoặc đề nghị trợ giúp ứng phó sự cố chất thải xảy ra ở nước ngoài ảnh hưởng đến Việt Nam hoặc sự cố chất thải ở Việt Nam ảnh hưởng đến nước ngoài.</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Bộ Kế hoạch và Đầu tư chủ trì, phối hợp với các bộ, ngành và địa phương trong công tác thẩm định nguồn vốn và khả năng cân đối vốn đối với các dự án đầu tư công phục vụ nhiệm vụ phòng ngừa, ứng phó sự cố chất thải theo quy định của pháp luật. Hướng dẫn các bộ, ngành và địa phương xây dựng kế hoạch đầu tư công trung hạn và hằng năm, làm cơ sở để các bộ, ngành và địa phương triển khai thực hiện Kế hoạch quốc gia ứng phó sự cố chất thải.</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Bộ Tài chính chủ trì, phối hợp với các bộ, ngành liên quan tổng hợp, bố trí kinh phí thường xuyên thực hiện nhiệm vụ ứng phó sự cố chất thải, trình cấp có thẩm quyền xem xét, quyết định theo phân cấp ngân sách hiện hành, quy định tại Luật Ngân sách nhà nước và các văn bản hướng dẫn. </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Bộ Xây dựng chủ trì, phối hợp với các bộ, ngành và địa phương hướng dẫn các quy hoạch, kế hoạch, chương trình bảo vệ môi trường, quản lý nhà nước về cấp nước, thoát nước và xử lý nước thải đô thị, khu dân cư nông thôn và khu công nghiệp; quản lý xây dựng hạ tầng kỹ thuật thu gom, lưu giữ, xử lý chất thải rắn và </w:t>
      </w:r>
      <w:r w:rsidRPr="009F5CEA">
        <w:rPr>
          <w:rFonts w:ascii="Times New Roman" w:hAnsi="Times New Roman"/>
          <w:sz w:val="28"/>
          <w:szCs w:val="28"/>
        </w:rPr>
        <w:lastRenderedPageBreak/>
        <w:t xml:space="preserve">triển khai thực hiện hiệu quả trong lĩnh vực thuộc bộ quản lý theo quy định của pháp luật. </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Ủy ban nhân dân các tỉnh, thành phố trực thuộc Trung ương (cấp tỉnh) thực hiện theo quy định tại Nghị định số 08/2022/NĐ-CP, ngày 10/01/2022 của Chính phủ quy định chi tiết một số điều của Luật Bảo vệ môi trường...</w:t>
      </w:r>
    </w:p>
    <w:p w:rsidR="007F13BA" w:rsidRPr="009F5CEA" w:rsidRDefault="007F13BA" w:rsidP="007F13BA">
      <w:pPr>
        <w:spacing w:after="0" w:line="240" w:lineRule="auto"/>
        <w:ind w:firstLine="567"/>
        <w:jc w:val="both"/>
        <w:rPr>
          <w:rFonts w:ascii="Times New Roman" w:hAnsi="Times New Roman"/>
          <w:b/>
          <w:sz w:val="28"/>
          <w:szCs w:val="28"/>
        </w:rPr>
      </w:pPr>
      <w:r w:rsidRPr="009F5CEA">
        <w:rPr>
          <w:rFonts w:ascii="Times New Roman" w:hAnsi="Times New Roman"/>
          <w:b/>
          <w:sz w:val="28"/>
          <w:szCs w:val="28"/>
        </w:rPr>
        <w:t>3. Quy hoạch tổng hợp lưu vực sông Cửu Long thời kỳ 2021 - 2030, tầm nhìn đến năm 2050</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Ngày 06/3/2023, Thủ tướng Chính phủ ban hành Quyết định số 174/QĐ-TTg phê duyệt Quy hoạch tổng hợp lưu vực sông Cửu Long thời kỳ 2021 - 2030, tầm nhìn đến năm 2050, trong đó nêu mục tiêu đến năm 2030 là phấn đấu đạt được một số chỉ tiêu cơ bản của Quy hoạch, gồm: 100% các vị trí giám sát dòng chảy xuyên biên giới được giám sát tự động, trực tuyến; 100% các nguồn nước liên tỉnh được công bố khả năng tiếp nhận nước thải, sức chịu tải; 100% công trình khai thác, sử dụng nước, xả nước thải vào nguồn nước được giám sát vận hành và kết nối hệ thống theo quy định; 100% hồ, ao, đầm, kênh, rạch không được san lấp theo quy định phải được công bố và quản lý chặt chẽ; 50% nguồn nước thuộc đối tượng lập hành lang bảo vệ nguồn nước được cắm mốc theo quy định; 100% nước thải đô thị được xử lý đạt quy chuẩn quốc gia trước khi xả vào nguồn nước, hệ thống thoát nước chung.</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lang w:val="vi-VN"/>
        </w:rPr>
        <w:t>Quản lý, điều hòa, phân bổ nguồn nước góp phần bảo đảm an ninh nguồn nước cho các mục đích khai thác, sử dụng và các mục tiêu phát triển kinh tế - xã hội trên lưu vực sông, cụ thể</w:t>
      </w:r>
      <w:r w:rsidRPr="009F5CEA">
        <w:rPr>
          <w:rFonts w:ascii="Times New Roman" w:hAnsi="Times New Roman"/>
          <w:sz w:val="28"/>
          <w:szCs w:val="28"/>
        </w:rPr>
        <w:t>: Quản lý điều hòa lượng nước có thể khai thác, sử dụng trên toàn lưu vực ứng với tần suất 50% khoảng 128.241 triệu m</w:t>
      </w:r>
      <w:r w:rsidRPr="009F5CEA">
        <w:rPr>
          <w:rFonts w:ascii="Times New Roman" w:hAnsi="Times New Roman"/>
          <w:sz w:val="28"/>
          <w:szCs w:val="28"/>
          <w:vertAlign w:val="superscript"/>
        </w:rPr>
        <w:t>3</w:t>
      </w:r>
      <w:r w:rsidRPr="009F5CEA">
        <w:rPr>
          <w:rFonts w:ascii="Times New Roman" w:hAnsi="Times New Roman"/>
          <w:sz w:val="28"/>
          <w:szCs w:val="28"/>
        </w:rPr>
        <w:t>, ứng với tần suất 85% khoảng 118.091 triệu m</w:t>
      </w:r>
      <w:r w:rsidRPr="009F5CEA">
        <w:rPr>
          <w:rFonts w:ascii="Times New Roman" w:hAnsi="Times New Roman"/>
          <w:sz w:val="28"/>
          <w:szCs w:val="28"/>
          <w:vertAlign w:val="superscript"/>
        </w:rPr>
        <w:t>3</w:t>
      </w:r>
      <w:r w:rsidRPr="009F5CEA">
        <w:rPr>
          <w:rFonts w:ascii="Times New Roman" w:hAnsi="Times New Roman"/>
          <w:sz w:val="28"/>
          <w:szCs w:val="28"/>
        </w:rPr>
        <w:t>, trong đó lượng nước có thể khai thác, sử dụng từ ngoài biên giới chảy vào (tại các trạm thủy văn Tân Châu, Châu Đốc) ứng với tần suất 50% khoảng 111.200 triệu m</w:t>
      </w:r>
      <w:r w:rsidRPr="009F5CEA">
        <w:rPr>
          <w:rFonts w:ascii="Times New Roman" w:hAnsi="Times New Roman"/>
          <w:sz w:val="28"/>
          <w:szCs w:val="28"/>
          <w:vertAlign w:val="superscript"/>
        </w:rPr>
        <w:t>3</w:t>
      </w:r>
      <w:r w:rsidRPr="009F5CEA">
        <w:rPr>
          <w:rFonts w:ascii="Times New Roman" w:hAnsi="Times New Roman"/>
          <w:sz w:val="28"/>
          <w:szCs w:val="28"/>
        </w:rPr>
        <w:t>, ứng với tần suất 85% khoảng 102.200 triệu m</w:t>
      </w:r>
      <w:r w:rsidRPr="009F5CEA">
        <w:rPr>
          <w:rFonts w:ascii="Times New Roman" w:hAnsi="Times New Roman"/>
          <w:sz w:val="28"/>
          <w:szCs w:val="28"/>
          <w:vertAlign w:val="superscript"/>
        </w:rPr>
        <w:t>3</w:t>
      </w:r>
      <w:r w:rsidRPr="009F5CEA">
        <w:rPr>
          <w:rFonts w:ascii="Times New Roman" w:hAnsi="Times New Roman"/>
          <w:sz w:val="28"/>
          <w:szCs w:val="28"/>
        </w:rPr>
        <w:t xml:space="preserve"> đáp ứng nhu cầu khai thác, sử dụng nước đến năm 2030.</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Các giải pháp điều hòa phân bổ nguồn nước cho các vùng, các tiểu vùng thực hiện trên cơ sở các quy định tại Quy hoạch này. Trường hợp hạn hán, thiếu nước, Bộ Tài nguyên và Môi trường quyết định việc điều hoà, phân bổ nguồn nước cho các mục đích sử dụng cho phù hợp nhằm nâng cao hiệu quả sử dụng nước.</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Trường hợp xảy ra thiếu nước nghiêm trọng, dòng chảy đến tại các trạm thủy văn Tân Châu, Châu Đốc thiếu hụt trên 30% so với trung bình nhiều năm trong mùa cạn, xâm nhập mặn sâu vào các sông, rạch, nội đồng (như các năm 2019, 2020), cần thực hiện việc đàm phán với các quốc gia thượng nguồn để yêu  cầu gia tăng lượng nước về đồng bằng, chuyển từ phương thức đáp ứng nhu cầu sang chủ động quản lý nhu cầu trên các vùng sinh thái lợ và mặn, kết hợp các giải pháp tích, trữ, tạo nguồn.</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Kiểm soát các hoạt động khai thác, sử dụng nước, xả nước thải vào nguồn nước trên lưu vực sông Cửu Long thông qua việc kết nối, truyền thông tin, dữ liệu về hệ thống giám sát khai thác, sử dụng nước, xả nước thải theo quy định. Bổ sung, xây dựng mới công trình tích, trữ nước, công trình bổ cập nhân tạo nước dưới đất, điều tiết, khai thác, sử dụng, phát triển tài nguyên nước bảo đảm đa mục tiêu, phù hợp với Quy hoạch này và các quy hoạch chuyên ngành khác có liên quan, ưu tiên thực hiện tại 28 tiểu vùng bị thiếu nước ngọt thuộc 120 tiểu vùng quản lý tổng hợp tài nguyên nước.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lastRenderedPageBreak/>
        <w:t>Nâng cao khả năng tích trữ nước của các ao, hồ, khu trũng sẵn có, kênh nội đồng, kênh cấp II, III trên nguyên tắc bảo đảm an toàn; bổ sung, xây dựng mới công trình điều tiết, khai thác, sử dụng, phát triển tài nguyên nước đa mục tiêu, bảo đảm cấp nước cho mùa cạn theo yêu cầu của cơ quan quản lý nhà nước có thẩm quyền trong trường hợp xảy ra thiếu nước, phù hợp với Quy hoạch này và các quy hoạch chuyên ngành khác có liên quan...</w:t>
      </w:r>
    </w:p>
    <w:p w:rsidR="007F13BA" w:rsidRPr="009F5CEA" w:rsidRDefault="007F13BA" w:rsidP="007F13BA">
      <w:pPr>
        <w:widowControl w:val="0"/>
        <w:spacing w:after="0" w:line="240" w:lineRule="auto"/>
        <w:ind w:firstLine="567"/>
        <w:jc w:val="both"/>
        <w:rPr>
          <w:rFonts w:ascii="Times New Roman" w:hAnsi="Times New Roman"/>
          <w:b/>
          <w:sz w:val="28"/>
          <w:szCs w:val="28"/>
        </w:rPr>
      </w:pPr>
      <w:r w:rsidRPr="009F5CEA">
        <w:rPr>
          <w:rFonts w:ascii="Times New Roman" w:hAnsi="Times New Roman"/>
          <w:b/>
          <w:sz w:val="28"/>
          <w:szCs w:val="28"/>
        </w:rPr>
        <w:t>4. Tiếp tục đẩy mạnh Đề án “Phát triển ứng dụng dữ liệu về dân cư, định danh và xác thực điện tử, phục vụ chuyển đổi số quốc gia giai đoạn 2022 - 2025, tầm nhìn đến năm 2030”</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Quyết định phê duyệt Đề án “phát triển ứng dụng dữ liệu về dân cư, định danh và xác thực điện tử, phục vụ chuyển đổi số quốc gia giai đoạn 2022 - 2025, tầm nhìn đến năm 2030”, ngày 06/10/2022 của Thủ tướng Chính phủ (Đề án 06) là đề án quan trọng, đột phá về phát triển hạ tầng thông tin, viễn thông, tạo nền tảng chuyển đổi số quốc gia, từng bước phát triển Chính phủ số, kinh tế số, xã hội số. Qua một năm thực hiện, Đề án đã mang lại những kết quả tích cực bước đầu, làm tiền đề cho việc triển khai nhiệm vụ cho các năm tiếp theo. Tuy nhiên, trong quá trình tổ chức triển khai thực hiện vẫn còn một số tồn tại, hạn chế là “điểm nghẽn” làm chậm tiến độ triển khai Đề án.</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Để khắc phục những tồn tại, hạn chế nêu trên, đồng thời đẩy mạnh việc triển khai thực hiện Đề án 06 trong năm 2023 và những năm tiếp theo, tại Chỉ thị 05/CT-TTg, ngày 23/02/2023 về tiếp tục đẩy mạnh triển khai Đề án phát triển ứng dụng dữ liệu về dân cư, định danh và xác thực điện tử phục vụ chuyển đổi số quốc gia giai đoạn 2022 - 2025, tầm nhìn đến năm 2030 tại các bộ, ngành, địa phương năm 2023 và những năm tiếp, Thủ tướng Chính phủ yêu cầu các bộ, ngành, Ủy ban nhân dân các tỉnh, thành phố trực thuộc trung ương quán triệt và thực hiện đồng bộ, thống nhất, kịp thời, hiệu quả những nhiệm vụ, giải pháp trọng tâm sau:</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Các bộ, ngành, địa phương xác định triển khai Đề án 06 là một trong nhiệm vụ trọng tâm, phải được tiến hành thường xuyên, liên tục ở tất cả các cấp, các ngành, các địa phương trên cơ sở huy động sự tham gia tích cực của người dân, doanh nghiệp. Việc triển khai phải có trọng tâm, trọng điểm; dễ làm trước, khó làm sau, làm từ thấp đến cao, từ nhỏ đến lớn, từ đơn giản đến phức tạp, thực hiện một cách bài bản, thực chất, hiệu quả, tránh tình trạng “trăm hoa đua nở”, tránh chồng chéo, đầu tư dàn trải, lãng phí.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Phối hợp chặt chẽ với Bộ Công an đưa ra mục tiêu, nhiệm vụ, lộ trình cụ thể triển khai thực hiện quyết liệt, hiệu quả Đề án 06 để đạt được các mục tiêu phục vụ phát triển kinh tế - xã hội, hoạch định chính sách, chỉ đạo, điều hành của lãnh đạo các cấp và giải quyết thủ tục hành chính, cung cấp dịch vụ công trực tuyến phục vụ người dân, doanh nghiệp. Thời gian hoàn thành trong tháng 3/2023.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Tập trung rà soát, cải tiến quy trình tiếp nhận, hướng dẫn hỗ trợ người dân, doanh nghiệp tại Bộ phận Một cửa các cấp theo hướng lấy người dân, doanh nghiệp làm trung tâm, là chủ thể, là mục tiêu, động lực để cung cấp dịch vụ chất lượng hơn, phục vụ tốt hơn, hoàn thành trong tháng 6/2023.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Đẩy nhanh tiến độ số hóa hồ sơ, kết quả giải quyết thủ tục hành chính theo đúng quy định của Chính phủ tại Nghị định số 45/2020/NĐ-CP, ngày 08/4/2020 và Nghị định số 107/2021/NĐ-CP, ngày 06/12/2021, gắn việc số hóa với việc thực hiện nhiệm vụ của cán bộ, công chức, trong quá trình giải quyết thủ tục hành </w:t>
      </w:r>
      <w:r w:rsidRPr="009F5CEA">
        <w:rPr>
          <w:rFonts w:ascii="Times New Roman" w:hAnsi="Times New Roman"/>
          <w:sz w:val="28"/>
          <w:szCs w:val="28"/>
        </w:rPr>
        <w:lastRenderedPageBreak/>
        <w:t xml:space="preserve">chính; không yêu cầu người dân, doanh nghiệp cung cấp giấy tờ, kết quả giải quyết thủ tục hành chính đã được số hóa theo đúng quy định. Thực hiện nghiêm việc tiếp nhận, xử lý hồ sơ trực tuyến, không để tình trạng giải quyết hồ sơ chậm, muộn; rà soát, chuẩn hóa, điện tử hóa mẫu đơn tờ khai theo hướng cắt giảm tối thiểu 20% thông tin phải khai báo trên cơ sở tái sử dụng dữ liệu đã được số hóa, hoàn thành trong tháng 6/2023. </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Phối hợp với Bộ Công an nghiên cứu, ứng dụng thẻ Căn cước công dân gắn chip, ứng dụng VNeID và khai thác Cơ sở dữ liệu quốc gia về dân cư; tích hợp các thông tin trong Cơ sở dữ liệu quốc gia về dân cư, thẻ căn cước công dân và tài khoản định danh điện tử để dần thay các loại giấy tờ công dân, trước mắt là việc thay thế sổ hộ khẩu, sổ tạm trú giấy từ ngày 01/01/2023. Thời gian hoàn thành trong tháng 3/2023. Đẩy mạnh cung cấp, thanh toán trực tuyến, trong đó tập trung thực hiện chi trả trợ cấp xã hội, hỗ trợ an sinh xã hội không dùng tiền mặt. Thời gian hoàn thành trong tháng 3/2023. Nâng cấp, hoàn thiện hạ tầng công nghệ thông tin đáp ứng yêu cầu tại Văn bản số 1552/BTTTT-TTH, ngày 26/4/2022 của Bộ Thông tin và Truyền thông; hoàn thành kết nối giữa Hệ thống thông tin giải quyết thủ tục hành chính cấp bộ, cấp tỉnh với Cơ sở dữ liệu quốc gia về dân cư phục vụ giải quyết thủ tục hành chính, dịch vụ công theo Nghị định số 107/2021/NĐ-CP của Chính phủ. Thời gian hoàn thành trong tháng 6/2023.</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Chủ động phối hợp với Bộ Công an, Bộ Thông tin và Truyền thông và các cơ quan có liên quan rà soát, kiểm tra, đánh giá an toàn Hệ thống thông tin giải quyết thủ tục hành chính cấp bộ, cấp tỉnh và chỉ đạo triển khai giải pháp bảo đảm an toàn thông tin, an ninh mạng để kết nối, khai thác Cơ sở dữ liệu quốc gia về dân cư phục vụ giải quyết thủ tục hành chính, cung cấp dịch vụ công trực tuyến; hoàn thành kết nối, tích hợp, chia sẻ dữ liệu kết quả giải quyết thủ tục hành chính từ Hệ thống thông tin giải quyết thủ tục hành chính cấp bộ, cấp tỉnh, cơ sở dữ liệu quốc gia, cơ sở dữ liệu chuyên ngành thuộc phạm vi quản lý với Kho quản lý dữ liệu điện tử của tổ chức, cá nhân trên Cổng Dịch vụ công quốc gia để chia sẻ, tái sử dụng dữ liệu đã được số hóa trong toàn quốc thống nhất, hiệu quả, phấn đấu hoàn thành trong tháng 3/2023. </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Tập trung xây dựng các cơ chế, chính sách phù hợp, hiệu quả về đào tạo, tuyển dụng, bố trí, đãi ngộ nhân lực chuyển đổi số, nhất là nhân lực chất lượng cao; hạn chế tình trạng chảy máu chất xám. Nghiên cứu, đánh giá kiện toàn về mô hình, nhân sự phù hợp với yêu cầu chuyển đổi số nói chung và thực hiện Đề án 06 nói riêng; tổ chức đào tạo, tập huấn cho cán bộ, công chức, viên chức nâng cao kỹ năng số, kỹ năng bảo mật thông tin trên môi trường mạng, thành thạo sử dụng công nghệ thông tin, nghiệp vụ. Thời gian hoàn thành trong tháng 6/2023.</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Ngoài các nhiệm vụ chung nêu trên, Chỉ thị cũng nêu rõ trách nhiệm cụ thể của từng bộ: Bộ Công an, Bộ Y tế, Bộ Lao động - Thương binh và Xã hội, Bộ Xây dựng, Bộ Tài nguyên và Môi trường, Bộ Nội vụ, Bộ Thông tin và Truyền thông, Bộ Tư pháp, Bộ Kế hoạch và Đầu tư, Bộ Tài chính, Bộ Giáo dục và Đào tạo, Bộ Giao thông vận tải, Văn phòng Chính phủ, Ủy ban nhân dân các tỉnh, thành phố trực thuộc trung ương trong việc tiếp tục đẩy mạnh Đề án “phát triển ứng dụng dữ liệu về dân cư, định danh và xác thực điện tử, phục vụ chuyển đổi số quốc gia giai đoạn 2022 - 2025, tầm nhìn đến năm 2030”.</w:t>
      </w:r>
    </w:p>
    <w:p w:rsidR="007F13BA" w:rsidRPr="009F5CEA" w:rsidRDefault="007F13BA" w:rsidP="007F13BA">
      <w:pPr>
        <w:spacing w:after="0" w:line="240" w:lineRule="auto"/>
        <w:ind w:firstLine="567"/>
        <w:jc w:val="both"/>
        <w:rPr>
          <w:rFonts w:ascii="Times New Roman" w:hAnsi="Times New Roman"/>
          <w:b/>
          <w:sz w:val="28"/>
          <w:szCs w:val="28"/>
        </w:rPr>
      </w:pPr>
      <w:r w:rsidRPr="009F5CEA">
        <w:rPr>
          <w:rFonts w:ascii="Times New Roman" w:hAnsi="Times New Roman"/>
          <w:b/>
          <w:sz w:val="28"/>
          <w:szCs w:val="28"/>
        </w:rPr>
        <w:t>5. Các giải pháp bảo đảm thuốc, trang thiết bị y tế</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lastRenderedPageBreak/>
        <w:t xml:space="preserve">Ngày 04/3/2023, Chính phủ vừa ban hành Nghị quyết số 30/NQ-CP về việc tiếp tục thực hiện các giải pháp bảo đảm thuốc, trang thiết bị y tế, quyết nghị một số nội dung sửa đổi quan trọng sau: </w:t>
      </w:r>
    </w:p>
    <w:p w:rsidR="007F13BA" w:rsidRPr="009F5CEA" w:rsidRDefault="007F13BA" w:rsidP="007F13BA">
      <w:pPr>
        <w:spacing w:after="0" w:line="240" w:lineRule="auto"/>
        <w:ind w:firstLine="567"/>
        <w:jc w:val="both"/>
        <w:rPr>
          <w:rFonts w:ascii="Times New Roman" w:hAnsi="Times New Roman"/>
          <w:spacing w:val="-2"/>
          <w:sz w:val="28"/>
          <w:szCs w:val="28"/>
        </w:rPr>
      </w:pPr>
      <w:r w:rsidRPr="009F5CEA">
        <w:rPr>
          <w:rFonts w:ascii="Times New Roman" w:hAnsi="Times New Roman"/>
          <w:spacing w:val="-2"/>
          <w:sz w:val="28"/>
          <w:szCs w:val="28"/>
        </w:rPr>
        <w:t>Sửa đổi khoản 4, Nghị quyết số 144/NQ-CP, ngày 05/11/2022 của Chính phủ như sau: “Cho phép tiếp tục thanh toán chi phí khám bệnh, chữa bệnh bảo hiểm y tế đối với các dịch vụ kỹ thuật thực hiện bằng máy do nhà thầu cung cấp sau khi trúng thầu vật tư, hóa chất theo kết quả lựa chọn nhà thầu được cấp có thẩm quyền phê duyệt theo quy định của Luật Đấu thầu, như sau: Đối với các hợp đồng được ký trước ngày 05/11/2022: thực hiện theo thời hạn của hợp đồng. Đối với các hợp đồng được ký từ ngày 05/11/2022: thực hiện đến khi có văn bản quy phạm pháp luật quy định về vấn đề này, bao gồm cả các hợp đồng được ký theo hình thức mua sắm trực tiếp. Trường hợp hết thời hạn hợp đồng quy định tại điểm a và điểm b khoản này thì được tiếp tục thanh toán đến khi sử dụng hết vật tư, hóa chất đã mua”.</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Trường hợp trong hồ sơ mời thầu, chủ đầu tư hoặc bên mời thầu (sau đây gọi chung là chủ đầu tư) quy định nội dung nhà thầu trúng thầu vật tư, hóa chất có trách nhiệm cung cấp trang thiết bị y tế để sử dụng vật tư, hóa chất thì nhà thầu trúng thầu phải cung cấp trang thiết bị y tế theo yêu cầu của chủ đầu tư. Chi phí khám bệnh, chữa bệnh của các dịch vụ kỹ thuật thực hiện bằng máy do nhà thầu cung cấp sau khi trúng thầu vật tư, hóa chất quy định tại khoản này được Quỹ bảo hiểm y tế thanh toán. Trường hợp hết thời hạn hợp đồng thì được tiếp tục thanh toán đến khi sử dụng hết vật tư, hóa chất đã mua.</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Cho phép các cơ sở y tế được áp dụng thí điểm hướng dẫn về xây dựng giá gói thầu trong năm 2023, cụ thể: (1) Khi xây dựng giá gói thầu, trường hợp cùng một chủng loại trang thiết bị y tế nhưng có nhiều hãng sản xuất khác nhau, chủ đầu tư xem xét, quyết định việc giao Hội đồng khoa học của đơn vị thực hiện việc xây dựng tính năng, cấu hình kỹ thuật theo yêu cầu chuyên môn của đơn vị. Trên cơ sở tính năng, cấu hình kỹ thuật do Hội đồng khoa học xây dựng, đơn vị tổ chức lấy báo giá theo quy định tại điểm b khoản này. (2) Chủ đầu tư xác định giá gói thầu căn cứ ít nhất một trong các tài liệu sau: a) Giá thị trường được tham khảo từ báo giá của các nhà cung cấp theo một trong các hình thức sau: Chủ đầu tư gửi thông báo mời chào giá với yêu cầu kỹ thuật lên Cổng thông tin điện tử của Bộ Y tế hoặc cổng dịch vụ công trực tuyến về quản lý trang thiết bị y tế (https://dmec.moh.gov.vn) hoặc trang thông tin điện tử của đơn vị hoặc các hình thức khác theo quy định của pháp luật về đấu thầu trong thời gian tối thiểu 10 ngày. Hết thời gian thông báo mời chào giá, chủ đầu tư căn cứ số báo giá nhận được để làm cơ sở xây dựng giá gói thầu. Trường hợp chỉ có một hoặc hai nhà phân phối hoặc doanh nghiệp (sau đây gọi chung là nhà phân phối) cung cấp báo giá thì được sử dụng các báo giá đã nhận để làm cơ sở xây dựng giá gói thầu. b) Chủ đầu tư được phép lấy báo giá trực tiếp từ nhà phân phối trong trường hợp chỉ có một nhà phân phối hoặc để bảo đảm tính tương thích về công nghệ, bản quyền mà không thể mua được từ nhà phân phối khác.</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Việc xác định giá gói thầu được dựa trên tính năng kỹ thuật, nhu cầu sử dụng, khả năng tài chính của chủ đầu tư. Kết quả thẩm định giá của cơ quan nhà nước có thẩm quyền thực hiện thẩm định giá, doanh nghiệp thẩm định giá theo quy định của Luật Giá. Giá trúng thầu của gói thầu mua sắm trang thiết bị y tế tương tự trong thời gian trước đó gần nhất, tối đa không quá 120 ngày. Trường hợp gói thầu </w:t>
      </w:r>
      <w:r w:rsidRPr="009F5CEA">
        <w:rPr>
          <w:rFonts w:ascii="Times New Roman" w:hAnsi="Times New Roman"/>
          <w:sz w:val="28"/>
          <w:szCs w:val="28"/>
        </w:rPr>
        <w:lastRenderedPageBreak/>
        <w:t>gồm nhiều phần riêng biệt thì ghi rõ giá cho từng phần trong giá gói thầu.</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 Cho phép các cơ sở y tế được sử dụng các trang thiết bị y tế đã được cá nhân, tổ chức trong nước, nước ngoài hiến, biếu, tặng cho, đóng góp, viện trợ, tài trợ (bao gồm các trang thiết bị y tế liên doanh, liên kết đã hết thời hạn hợp đồng) nhưng chưa hoàn thành thủ tục xác lập sở hữu toàn dân để khám bệnh, chữa bệnh. Các dịch vụ kỹ thuật thực hiện bằng trang thiết bị y tế này được Quỹ bảo hiểm y tế thanh toán. Cơ sở khám bệnh, chữa bệnh chịu trách nhiệm về chất lượng dịch vụ y tế cung cấp từ các trang thiết bị y tế này và được sử dụng kinh phí của cơ sở để bảo trì, bảo dưỡng, sửa chữa trang thiết bị y tế trong quá trình sử dụng.</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Bộ Y tế có trách nhiệm xây dựng, ban hành hướng dẫn về xây dựng giá gói thầu trang thiết bị y tế: Hoàn thành trong Quý II năm 2023; sửa đổi, bổ sung danh mục thuốc đấu thầu tập trung cấp quốc gia, cấp địa phương bảo đảm phù hợp với năng lực tổ chức đấu thầu của từng cấp và khả năng cung ứng của doanh nghiệp để cung ứng đủ, kịp thời thuốc cho hoạt động khám bệnh, chữa bệnh: Hoàn thành trong Quý III năm 2023; nghiên cứu, xây dựng cơ chế bảo đảm thuốc hiếm, thuốc hạn chế nguồn cung: Hoàn thành trong Quý III năm 2023; xây dựng, ban hành hướng dẫn mẫu hồ sơ mời thầu đối với gói thầu dược liệu, vị thuốc cổ truyền để đấu thầu qua mạng: Hoàn thành trong Quý III năm 2023; phối hợp với Bộ Tài chính và các bộ, cơ quan có liên quan đề xuất giải pháp cụ thể báo cáo cấp có thẩm quyền xem xét, quyết định: Hoàn thành trong Quý II năm 2023.</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Bộ Kế hoạch và Đầu tư có trách nhiệm khẩn trương hướng dẫn kịp thời, cụ thể các đơn vị, địa phương thực hiện các văn bản quy phạm pháp luật liên quan đến đấu thầu thuốc, trang thiết bị y tế theo thẩm quyền; phối hợp với Bộ Y tế xây dựng các quy định về đấu thầu thuốc, trang thiết bị y tế trong dự án Luật Đấu thầu bảo đảm phù hợp với đặc thù của ngành y tế.</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Bộ Tài chính có trách nhiệm khẩn trương rà soát, sửa đổi, bổ sung hoặc ban hành mới các văn bản về quản lý, sử dụng tài sản công và sử dụng kinh phí có nguồn gốc từ ngân sách nhà nước để mua sắm thuốc, trang thiết bị y tế theo thẩm quyền hoặc trình cấp có thẩm quyền ban hành theo quy định.</w:t>
      </w:r>
    </w:p>
    <w:p w:rsidR="007F13BA" w:rsidRPr="009F5CEA" w:rsidRDefault="007F13BA" w:rsidP="007F13BA">
      <w:pPr>
        <w:spacing w:after="0" w:line="240" w:lineRule="auto"/>
        <w:ind w:firstLine="567"/>
        <w:jc w:val="both"/>
        <w:rPr>
          <w:rFonts w:ascii="Times New Roman" w:hAnsi="Times New Roman"/>
          <w:b/>
          <w:sz w:val="28"/>
          <w:szCs w:val="28"/>
        </w:rPr>
      </w:pPr>
      <w:r w:rsidRPr="009F5CEA">
        <w:rPr>
          <w:rFonts w:ascii="Times New Roman" w:hAnsi="Times New Roman"/>
          <w:b/>
          <w:sz w:val="28"/>
          <w:szCs w:val="28"/>
        </w:rPr>
        <w:t xml:space="preserve">6. Chương trình điều tra thống kê quốc gia </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Ngày15/02/2023, Thủ tướng Chính phủ đã ban hành Quyết định số 03/2023/QĐ-TTg, về Chương trình điều tra thống kê quốc gia. Theo Quyết định, Chương trình điều tra thống kê quốc gia gồm 45 cuộc điều tra, khảo sát trong đó có 03 cuộc tổng điều tra thống kê quốc gia (Tổng điều tra dân số và nhà ở; Tổng điều tra nông thôn, nông nghiệp; Tổng điều tra kinh tế) và 42 cuộc điều tra thống kê ở các lĩnh vực khác nhau, cụ thể:</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Nhóm 01. Điều tra dân số, lao động và việc làm, gồm 3 cuộc điều tra: Điều tra dân số và nhà ở giữa kỳ; Điều tra biến động dân số và kế hoạch hóa gia đình; Điều tra lao động và việc làm.</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Nhóm 02. Điều tra đất đai, nông nghiệp, lâm nghiệp và thủy sản, gồm 8 cuộc điều tra: Điều tra kiểm kê đất đai, lập bản đồ hiện trạng sử dụng đất; Điều tra nông thôn, nông nghiệp giữa kỳ; Điều tra diện tích cây nông nghiệp; Điều tra năng suất, sản lượng cây nông nghiệp; Điều tra chăn nuôi; Điều tra lâm nghiệp; Điều tra, kiểm kê rừng; Điều tra thủy sản.</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Nhóm 03. Điều tra công nghiệp, xây dựng, thương mại, dịch vụ và vốn đầu tư, gồm 8 cuộc điều tra: Điều tra ngành công nghiệp; Điều tra năng lực sản xuất </w:t>
      </w:r>
      <w:r w:rsidRPr="009F5CEA">
        <w:rPr>
          <w:rFonts w:ascii="Times New Roman" w:hAnsi="Times New Roman"/>
          <w:sz w:val="28"/>
          <w:szCs w:val="28"/>
        </w:rPr>
        <w:lastRenderedPageBreak/>
        <w:t>của một số sản phẩm công nghiệp; Điều tra hoạt động xây dựng; Điều tra hoạt động thương mại và dịch vụ; Điều tra loại hình hạ tầng thương mại phổ biến; Điều tra thông tin khách du lịch nội địa; Điều tra chi tiêu của khách du lịch, khách quốc tế đến Việt Nam; Điều tra vốn đầu tư thực hiện.</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Nhóm 04. Điều tra cơ sở kinh tế, hành chính, sự nghiệp và tài khoản quốc gia, gồm 5 cuộc điều tra: Điều tra doanh nghiệp; Điều tra cơ sở sản xuất, kinh doanh cá thể; Điều tra cơ sở hành chính, sự nghiệp; Điều tra thu thập thông tin lập bảng cân đối liên ngành và tính hệ số chi phí trung gian; Điều tra đơn vị sự nghiệp và tổ chức vô vị lợi.</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Nhóm 05. Điều tra giá, gồm 9 cuộc điều tra: Điều tra giá tiêu dùng (CPI); Điều tra giá nguyên liệu, nhiên liệu, vật liệu dùng cho sản xuất; Điều tra giá sản xuất nông nghiệp, lâm nghiệp và thủy sản; Điều tra giá sản xuất công nghiệp; Điều tra giá sản xuất dịch vụ; Điều tra giá sản xuất xây dựng; Điều tra giá bất động sản; Điều tra giá tiền lương; Điều tra giá xuất khẩu, nhập khẩu.</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Nhóm 06. Điều tra khoa học công nghệ, thông tin và truyền thông, gồm 3 cuộc điều tra: Điều tra tiềm lực khoa học và công nghệ của các tổ chức khoa học và công nghệ; Điều tra nghiên cứu khoa học và phát triển công nghệ; Điều tra thống kê thương mại điện tử.</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Nhóm 07. Điều tra y tế, xã hội và môi trường, gồm 6 cuộc điều tra, khảo sát: Điều tra cơ sở và nhân lực y tế ngoài công lập; Điều tra dinh dưỡng; Khảo sát mức sống dân cư Việt Nam; Khảo sát sức khỏe dân cư và kinh nghiệm cuộc sống; Điều tra người khuyết tật; Điều tra các chỉ tiêu về bảo vệ môi trường.</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Bộ Kế hoạch và Đầu tư có trách nhiệm trình Thủ tướng Chính phủ xây dựng, sửa đổi, bổ sung Chương trình điều tra thống kê quốc gia cho phù hợp với yêu cầu nhiệm vụ phát triển kinh tế - xã hội trong từng thời kỳ.</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Chương trình điều tra thống kê quốc gia là căn cứ để các bộ, ngành chủ động xây dựng kế hoạch các cuộc điều tra, xây dựng phương án điều tra, kế hoạch thực hiện, dự toán kinh phí và quyết định các cuộc điều tra thống kê, tạo sự ổn định cho hoạt động thống kê. Kết quả điều tra được công bố theo đúng quy định.</w:t>
      </w:r>
    </w:p>
    <w:p w:rsidR="007F13BA" w:rsidRPr="009F5CEA" w:rsidRDefault="007F13BA" w:rsidP="007F13BA">
      <w:pPr>
        <w:widowControl w:val="0"/>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Kinh phí để thực hiện các cuộc điều tra thống kê thuộc Chương trình điều tra thống kê quốc gia do ngân sách nhà nước cấp và được bố trí trong dự toán ngân sách của các cơ quan theo quy định của Luật Ngân sách nhà nước (bao gồm cả nguồn kinh phí khác do tổ chức quốc tế tài trợ theo các chương trình dự án) bảo đảm theo quy mô, tính chất của từng cuộc điều tra. Kết quả của các cuộc điều tra thống kê trong Chương trình điều tra thống kê quốc gia phải được công bố theo đúng các quy định của Luật Thống kê và các quyết định hiện hành của Nhà nước về điều tra thống kê. </w:t>
      </w:r>
    </w:p>
    <w:p w:rsidR="007F13BA" w:rsidRPr="009F5CEA" w:rsidRDefault="007F13BA" w:rsidP="007F13BA">
      <w:pPr>
        <w:spacing w:after="0" w:line="240" w:lineRule="auto"/>
        <w:ind w:firstLine="567"/>
        <w:jc w:val="both"/>
        <w:rPr>
          <w:rFonts w:ascii="Times New Roman" w:hAnsi="Times New Roman"/>
          <w:b/>
          <w:spacing w:val="-4"/>
          <w:sz w:val="28"/>
          <w:szCs w:val="28"/>
        </w:rPr>
      </w:pPr>
      <w:r w:rsidRPr="009F5CEA">
        <w:rPr>
          <w:rFonts w:ascii="Times New Roman" w:hAnsi="Times New Roman"/>
          <w:b/>
          <w:spacing w:val="-4"/>
          <w:sz w:val="28"/>
          <w:szCs w:val="28"/>
        </w:rPr>
        <w:t>7. Về tháo gỡ khó khăn, vướng mắc trong triển khai các chương trình mục tiêu quốc gia giai đoạn 2021 - 2025</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Công điện số 71/CĐ-TTg, ngày 23/02/2023 của Thủ tướng Chính phủ về việc tháo gỡ khó khăn, vướng mắc trong quá trình triển khai thực hiện các chương trình mục tiêu quốc gia giai đoạn 2021 - 2025 yêu cầu các Bộ trưởng, Thủ trưởng cơ quan ngang Bộ, Chủ tịch Ủy ban nhân dân các tỉnh, thành phố trực thuộc trung ương và Thủ trưởng các cơ quan liên quan chỉ đạo thực hiện một số nhiệm vụ trọng tâm sau:</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lastRenderedPageBreak/>
        <w:t>Các bộ, cơ quan Trung ương theo thẩm quyền, chức năng và nhiệm vụ được giao khẩn trương chủ trì, phối hợp với các cơ quan liên quan nghiên cứu, xử lý các khó khăn, vướng mắc của các địa phương; có văn bản trả lời, hướng dẫn, diễn giải cụ thể và đồng gửi 63 tỉnh, thành phố trực thuộc Trung ương để các địa phương tham khảo, triển khai thực hiện bảo đảm thời hạn được giao; kịp thời báo cáo cấp có thẩm quyền những nội dung vượt thẩm quyền.</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Các bộ, cơ quan Trung ương là chủ dự án thành phần của các chương trình mục tiêu quốc gia tích cực theo dõi, giám sát việc triển khai thực hiện các dự án thành phần được giao chủ trì quản lý tại các địa phương để chủ động rà soát, nghiên cứu, sửa đổi, bổ sung các văn bản hướng dẫn theo thẩm quyền hoặc trình cấp có thẩm quyền ban hành các cơ chế, chính sách theo tinh thần tháo gỡ các nút thắt, khơi thông các điểm nghẽn, phù hợp tình hình thực tiễn, tạo điều kiện cho các địa phương tổ chức triển khai thực hiện thuận lợi, thông suốt, hoàn thành các mục tiêu đề ra.</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 xml:space="preserve">Ủy ban nhân dân các tỉnh, thành phố trực thuộc Trung ương cần chủ động, quyết liệt hơn nữa trong công tác triển khai thực hiện các chương trình mục tiêu quốc gia; phát huy các kết quả đã đạt được, khắc phục các tồn tại, hạn chế, trong đó tập trung thực hiện tốt một số nhiệm vụ sau: Khẩn trương ban hành hoặc trình cấp có thẩm quyền ban hành đầy đủ các quy định khung, văn bản quản lý, điều hành để triển khai thực hiện các chương trình mục tiêu quốc gia ở địa phương; hoàn thành trong Quý I năm 2023… Rà soát, tổng hợp các văn bản quản lý, điều hành đã ban hành để triển khai thực hiện các chương trình mục tiêu quốc gia ở địa phương, gửi báo cáo về Bộ Kế hoạch và Đầu tư trước ngày 05 tháng 03 năm 2023. </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Các bộ, ngành, địa phương tăng cường công tác kiểm tra, giám sát để kịp thời hướng dẫn các đơn vị triển khai thực hiện các nhiệm vụ được giao bảo đảm đúng quy định hiện hành và tiến độ được giao; phối hợp chặt chẽ với các cơ quan thanh tra, kiểm tra cùng cấp để công tác kiểm tra, giám sát phải thực chất, hiệu quả và đề xuất các giải pháp tháo gỡ kịp thời khó khăn, vướng mắc cho các đơn vị trực tiếp tổ chức thực hiện.</w:t>
      </w:r>
    </w:p>
    <w:p w:rsidR="007F13BA" w:rsidRPr="009F5CEA" w:rsidRDefault="007F13BA" w:rsidP="007F13BA">
      <w:pPr>
        <w:spacing w:after="0" w:line="240" w:lineRule="auto"/>
        <w:ind w:firstLine="567"/>
        <w:jc w:val="both"/>
        <w:rPr>
          <w:rFonts w:ascii="Times New Roman" w:hAnsi="Times New Roman"/>
          <w:sz w:val="28"/>
          <w:szCs w:val="28"/>
        </w:rPr>
      </w:pPr>
      <w:r w:rsidRPr="009F5CEA">
        <w:rPr>
          <w:rFonts w:ascii="Times New Roman" w:hAnsi="Times New Roman"/>
          <w:sz w:val="28"/>
          <w:szCs w:val="28"/>
        </w:rPr>
        <w:t>Bộ Kế hoạch và Đầu tư chủ trì, phối hợp với các Bộ, cơ quan: Nông nghiệp và Phát triển nông thôn, Lao động - Thương binh và Xã hội, Ủy ban dân tộc và các bộ, ngành, địa phương liên quan theo dõi, đôn đốc, kiểm tra và định kỳ hàng tháng báo cáo Thủ tướng Chính phủ kết quả triển khai thực hiện Công điện này.</w:t>
      </w:r>
    </w:p>
    <w:p w:rsidR="007F13BA" w:rsidRPr="009F5CEA" w:rsidRDefault="007F13BA" w:rsidP="007F13BA">
      <w:pPr>
        <w:spacing w:after="0" w:line="240" w:lineRule="auto"/>
        <w:ind w:firstLine="567"/>
        <w:jc w:val="both"/>
        <w:rPr>
          <w:rFonts w:ascii="Times New Roman" w:hAnsi="Times New Roman"/>
          <w:b/>
          <w:sz w:val="28"/>
          <w:szCs w:val="28"/>
        </w:rPr>
      </w:pPr>
    </w:p>
    <w:p w:rsidR="007F13BA" w:rsidRPr="009F5CEA" w:rsidRDefault="007F13BA" w:rsidP="007F13BA">
      <w:pPr>
        <w:widowControl w:val="0"/>
        <w:spacing w:after="0" w:line="240" w:lineRule="auto"/>
        <w:ind w:firstLine="567"/>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1605914</wp:posOffset>
                </wp:positionH>
                <wp:positionV relativeFrom="paragraph">
                  <wp:posOffset>132715</wp:posOffset>
                </wp:positionV>
                <wp:extent cx="2600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45pt,10.45pt" to="331.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OStgEAAMMDAAAOAAAAZHJzL2Uyb0RvYy54bWysU8GOEzEMvSPxD1HudKZFr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" strokecolor="#4579b8 [3044]"/>
            </w:pict>
          </mc:Fallback>
        </mc:AlternateContent>
      </w:r>
    </w:p>
    <w:p w:rsidR="00DE5AA8" w:rsidRDefault="00DE5AA8">
      <w:bookmarkStart w:id="1" w:name="_GoBack"/>
      <w:bookmarkEnd w:id="1"/>
    </w:p>
    <w:sectPr w:rsidR="00DE5AA8" w:rsidSect="007F13BA">
      <w:pgSz w:w="11907" w:h="16840" w:code="9"/>
      <w:pgMar w:top="709" w:right="85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BA"/>
    <w:rsid w:val="007F13BA"/>
    <w:rsid w:val="00DE215A"/>
    <w:rsid w:val="00DE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B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BA"/>
    <w:pPr>
      <w:ind w:left="720"/>
      <w:contextualSpacing/>
    </w:pPr>
  </w:style>
  <w:style w:type="character" w:styleId="Emphasis">
    <w:name w:val="Emphasis"/>
    <w:uiPriority w:val="20"/>
    <w:qFormat/>
    <w:rsid w:val="007F13BA"/>
    <w:rPr>
      <w:i/>
      <w:iCs/>
    </w:rPr>
  </w:style>
  <w:style w:type="character" w:styleId="Strong">
    <w:name w:val="Strong"/>
    <w:uiPriority w:val="22"/>
    <w:qFormat/>
    <w:rsid w:val="007F13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B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BA"/>
    <w:pPr>
      <w:ind w:left="720"/>
      <w:contextualSpacing/>
    </w:pPr>
  </w:style>
  <w:style w:type="character" w:styleId="Emphasis">
    <w:name w:val="Emphasis"/>
    <w:uiPriority w:val="20"/>
    <w:qFormat/>
    <w:rsid w:val="007F13BA"/>
    <w:rPr>
      <w:i/>
      <w:iCs/>
    </w:rPr>
  </w:style>
  <w:style w:type="character" w:styleId="Strong">
    <w:name w:val="Strong"/>
    <w:uiPriority w:val="22"/>
    <w:qFormat/>
    <w:rsid w:val="007F1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namplus.vn/tags/Qu%e1%bb%91c-h%e1%bb%99i-Trung-Qu%e1%bb%91c.vnp" TargetMode="External"/><Relationship Id="rId13" Type="http://schemas.openxmlformats.org/officeDocument/2006/relationships/hyperlink" Target="https://thanhnien.vn/chien-tranh-lanh-lan-thu-2.html" TargetMode="External"/><Relationship Id="rId3" Type="http://schemas.openxmlformats.org/officeDocument/2006/relationships/settings" Target="settings.xml"/><Relationship Id="rId7" Type="http://schemas.openxmlformats.org/officeDocument/2006/relationships/hyperlink" Target="https://www.vietnamplus.vn/tags/Brexit.vnp" TargetMode="External"/><Relationship Id="rId12" Type="http://schemas.openxmlformats.org/officeDocument/2006/relationships/hyperlink" Target="https://www.qdnd.vn/tag/trung-quoc-727.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ietnamplus.vn/tags/an-ninh-%e1%bb%9f-ch%c3%a2u-%c3%82u.vnp" TargetMode="External"/><Relationship Id="rId11" Type="http://schemas.openxmlformats.org/officeDocument/2006/relationships/hyperlink" Target="https://www.vietnamplus.vn/tags/Ch%e1%bb%a7-t%e1%bb%8bch-Trung-Qu%e1%bb%91c.vnp" TargetMode="External"/><Relationship Id="rId5" Type="http://schemas.openxmlformats.org/officeDocument/2006/relationships/hyperlink" Target="https://www.qdnd.vn/tag/chien-dich-quan-su-nga-va-ukraine-919.html" TargetMode="External"/><Relationship Id="rId15" Type="http://schemas.openxmlformats.org/officeDocument/2006/relationships/hyperlink" Target="https://www.vietnamplus.vn/tags/Chi%e1%ba%bfn-tranh.vnp" TargetMode="External"/><Relationship Id="rId10" Type="http://schemas.openxmlformats.org/officeDocument/2006/relationships/hyperlink" Target="https://www.vietnamplus.vn/tags/T%e1%ba%adp-C%e1%ba%adn-B%c3%acnh.vnp" TargetMode="External"/><Relationship Id="rId4" Type="http://schemas.openxmlformats.org/officeDocument/2006/relationships/webSettings" Target="webSettings.xml"/><Relationship Id="rId9" Type="http://schemas.openxmlformats.org/officeDocument/2006/relationships/hyperlink" Target="https://www.vietnamplus.vn/tags/%c4%90%e1%ba%a3ng-C%e1%bb%99ng-s%e1%ba%a3n-Trung-Qu%e1%bb%91c.vnp" TargetMode="External"/><Relationship Id="rId14" Type="http://schemas.openxmlformats.org/officeDocument/2006/relationships/hyperlink" Target="https://www.vietnamplus.vn/tags/Kim-Jong-un.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7952</Words>
  <Characters>45328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2023-03-31T08:15:00Z</dcterms:created>
  <dcterms:modified xsi:type="dcterms:W3CDTF">2023-03-31T08:26:00Z</dcterms:modified>
</cp:coreProperties>
</file>