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D1" w:rsidRPr="006C0C0E" w:rsidRDefault="00F555D1" w:rsidP="00F555D1">
      <w:pPr>
        <w:spacing w:after="0" w:line="240" w:lineRule="auto"/>
        <w:ind w:firstLine="567"/>
        <w:jc w:val="center"/>
        <w:rPr>
          <w:b/>
          <w:szCs w:val="28"/>
        </w:rPr>
      </w:pPr>
      <w:r w:rsidRPr="006C0C0E">
        <w:rPr>
          <w:b/>
          <w:szCs w:val="28"/>
        </w:rPr>
        <w:t>BẢN TIN THÔNG BÁO NỘI BỘ</w:t>
      </w:r>
    </w:p>
    <w:p w:rsidR="00F555D1" w:rsidRPr="006C0C0E" w:rsidRDefault="00F555D1" w:rsidP="00F555D1">
      <w:pPr>
        <w:spacing w:after="0" w:line="240" w:lineRule="auto"/>
        <w:ind w:firstLine="567"/>
        <w:jc w:val="center"/>
        <w:rPr>
          <w:b/>
          <w:szCs w:val="28"/>
        </w:rPr>
      </w:pPr>
      <w:r w:rsidRPr="006C0C0E">
        <w:rPr>
          <w:b/>
          <w:szCs w:val="28"/>
        </w:rPr>
        <w:t>phục vụ SHCB tháng 01-2025 của Ban Tuyên giáo TW</w:t>
      </w:r>
    </w:p>
    <w:p w:rsidR="00F555D1" w:rsidRPr="006C0C0E" w:rsidRDefault="00F555D1" w:rsidP="00F555D1">
      <w:pPr>
        <w:spacing w:after="0" w:line="240" w:lineRule="auto"/>
        <w:ind w:firstLine="567"/>
        <w:jc w:val="center"/>
        <w:rPr>
          <w:b/>
          <w:szCs w:val="28"/>
        </w:rPr>
      </w:pPr>
      <w:r w:rsidRPr="006C0C0E">
        <w:rPr>
          <w:b/>
          <w:szCs w:val="28"/>
        </w:rPr>
        <w:t>phần “</w:t>
      </w:r>
      <w:r w:rsidRPr="006C0C0E">
        <w:rPr>
          <w:b/>
          <w:i/>
          <w:szCs w:val="28"/>
        </w:rPr>
        <w:t>Thời sự thế giới</w:t>
      </w:r>
      <w:r w:rsidRPr="006C0C0E">
        <w:rPr>
          <w:b/>
          <w:szCs w:val="28"/>
        </w:rPr>
        <w:t>” và “</w:t>
      </w:r>
      <w:r w:rsidRPr="006C0C0E">
        <w:rPr>
          <w:b/>
          <w:i/>
          <w:szCs w:val="28"/>
        </w:rPr>
        <w:t>Thời sự trong nước</w:t>
      </w:r>
      <w:r w:rsidRPr="006C0C0E">
        <w:rPr>
          <w:b/>
          <w:szCs w:val="28"/>
        </w:rPr>
        <w:t>”</w:t>
      </w:r>
    </w:p>
    <w:p w:rsidR="00F555D1" w:rsidRPr="001C03D1" w:rsidRDefault="00F555D1" w:rsidP="001C03D1">
      <w:pPr>
        <w:spacing w:after="0" w:line="240" w:lineRule="auto"/>
        <w:ind w:firstLine="567"/>
        <w:jc w:val="center"/>
        <w:rPr>
          <w:b/>
          <w:szCs w:val="28"/>
        </w:rPr>
      </w:pPr>
      <w:r w:rsidRPr="006C0C0E">
        <w:rPr>
          <w:b/>
          <w:szCs w:val="28"/>
        </w:rPr>
        <w:t>-----</w:t>
      </w:r>
    </w:p>
    <w:p w:rsidR="00F555D1" w:rsidRPr="006C0C0E" w:rsidRDefault="00F555D1" w:rsidP="00F555D1">
      <w:pPr>
        <w:tabs>
          <w:tab w:val="center" w:pos="4677"/>
        </w:tabs>
        <w:spacing w:before="120" w:after="0" w:line="360" w:lineRule="exact"/>
        <w:ind w:firstLine="567"/>
        <w:jc w:val="both"/>
        <w:rPr>
          <w:b/>
          <w:szCs w:val="28"/>
        </w:rPr>
      </w:pPr>
      <w:r>
        <w:rPr>
          <w:b/>
          <w:szCs w:val="28"/>
        </w:rPr>
        <w:t>I.</w:t>
      </w:r>
      <w:r w:rsidRPr="006C0C0E">
        <w:rPr>
          <w:b/>
          <w:szCs w:val="28"/>
        </w:rPr>
        <w:t xml:space="preserve"> THÔNG TIN THỜI SỰ</w:t>
      </w:r>
      <w:r>
        <w:rPr>
          <w:b/>
          <w:szCs w:val="28"/>
        </w:rPr>
        <w:t xml:space="preserve"> </w:t>
      </w:r>
      <w:r w:rsidRPr="006C0C0E">
        <w:rPr>
          <w:b/>
          <w:szCs w:val="28"/>
        </w:rPr>
        <w:t>THẾ GIỚI</w:t>
      </w:r>
    </w:p>
    <w:p w:rsidR="00F555D1" w:rsidRPr="006C0C0E" w:rsidRDefault="00F555D1" w:rsidP="00F555D1">
      <w:pPr>
        <w:widowControl w:val="0"/>
        <w:spacing w:before="120" w:after="0" w:line="360" w:lineRule="exact"/>
        <w:ind w:firstLine="567"/>
        <w:jc w:val="both"/>
        <w:rPr>
          <w:b/>
          <w:bCs/>
          <w:iCs/>
          <w:szCs w:val="28"/>
        </w:rPr>
      </w:pPr>
      <w:r>
        <w:rPr>
          <w:b/>
          <w:bCs/>
          <w:iCs/>
          <w:spacing w:val="2"/>
          <w:szCs w:val="28"/>
        </w:rPr>
        <w:t>1</w:t>
      </w:r>
      <w:r w:rsidRPr="006C0C0E">
        <w:rPr>
          <w:b/>
          <w:bCs/>
          <w:iCs/>
          <w:spacing w:val="2"/>
          <w:szCs w:val="28"/>
        </w:rPr>
        <w:t>. Một số kết quả c</w:t>
      </w:r>
      <w:r w:rsidRPr="006C0C0E">
        <w:rPr>
          <w:b/>
          <w:bCs/>
          <w:iCs/>
          <w:szCs w:val="28"/>
        </w:rPr>
        <w:t>huyến thăm Singapore và Nhật Bản của Chủ tịch Quốc hội Trần Thanh Mẫn</w:t>
      </w:r>
    </w:p>
    <w:p w:rsidR="00F555D1" w:rsidRPr="001D0251" w:rsidRDefault="00F555D1" w:rsidP="00F555D1">
      <w:pPr>
        <w:widowControl w:val="0"/>
        <w:spacing w:before="120" w:after="0" w:line="360" w:lineRule="exact"/>
        <w:ind w:firstLine="567"/>
        <w:jc w:val="both"/>
        <w:rPr>
          <w:i/>
          <w:iCs/>
          <w:spacing w:val="-4"/>
          <w:szCs w:val="28"/>
          <w:shd w:val="clear" w:color="auto" w:fill="FFFFFF"/>
        </w:rPr>
      </w:pPr>
      <w:r w:rsidRPr="001D0251">
        <w:rPr>
          <w:i/>
          <w:iCs/>
          <w:spacing w:val="-4"/>
          <w:szCs w:val="28"/>
          <w:shd w:val="clear" w:color="auto" w:fill="FFFFFF"/>
        </w:rPr>
        <w:t xml:space="preserve">Từ ngày 01 - 07/12/2024, Chủ tịch Quốc hội Trần Thanh Mẫn và Phu nhân cùng Đoàn đại biểu cấp cao Quốc hội Việt Nam thăm chính thức Singapore và Nhật Bản. </w:t>
      </w:r>
    </w:p>
    <w:p w:rsidR="00F555D1" w:rsidRPr="001D0251" w:rsidRDefault="00F555D1" w:rsidP="00F555D1">
      <w:pPr>
        <w:widowControl w:val="0"/>
        <w:spacing w:before="120" w:after="0" w:line="360" w:lineRule="exact"/>
        <w:ind w:firstLine="567"/>
        <w:jc w:val="both"/>
        <w:rPr>
          <w:iCs/>
          <w:szCs w:val="28"/>
          <w:shd w:val="clear" w:color="auto" w:fill="FFFFFF"/>
        </w:rPr>
      </w:pPr>
      <w:r w:rsidRPr="001D0251">
        <w:rPr>
          <w:szCs w:val="28"/>
          <w:shd w:val="clear" w:color="auto" w:fill="FFFFFF"/>
        </w:rPr>
        <w:t>Trong khuôn khổ chuyến thăm, Chủ tịch Quốc hội Trần Thanh Mẫn đã hội kiến Tổng thống Singapore Tharman Shanmugaratnam, Thủ tướng Singapore Lawrence Wong, hội đàm với Chủ tịch Quốc hội Singapore Seah Kian Peng. Tại các cuộc hội đàm, hội kiến, lãnh đạo hai nước khẳng định quan hệ Việt Nam -Singapore không ngừng phát triển, đạt nhiều dấu mốc quan trọng trên tất cả các lĩnh vực; nhất trí thời gian tới, hai bên sẽ tiếp tục phối hợp chặt chẽ, sớm đưa quan hệ hai nước lên tầm cao mới; đ</w:t>
      </w:r>
      <w:r w:rsidRPr="001D0251">
        <w:rPr>
          <w:iCs/>
          <w:szCs w:val="28"/>
          <w:shd w:val="clear" w:color="auto" w:fill="FFFFFF"/>
        </w:rPr>
        <w:t>ồng thời tiếp tục triển khai hiệu quả Thỏa thuận hợp tác giữa Quốc hội hai nước; tăng cường trao đổi thông tin, chia sẻ kinh nghiệm của mỗi nước về hoàn thiện thể chế, chính sách, hệ thống pháp luật, bảo đảm ổn định kinh tế vĩ mô, mở rộng quan hệ đối ngoại và nâng cao hiệu quả hội nhập quốc tế; triển khai các hoạt động hợp tác giữa các ủy ban, cơ quan của Quốc hội, giữa các nghị sỹ hai nước. Chủ tịch Quốc hội Trần Thanh Mẫn đề nghị phía Singapore quan tâm, có các chính sách tạo điều kiện cho các doanh nghiệp, nhà đầu tư Việt Nam và người Việt Nam tại Singapore sinh sống, làm việc và học tập thuận lợi, góp phần phát triển quan hệ hai nước cũng như đóng góp vào sự phát triển kinh tế - xã hội của Singapore.</w:t>
      </w:r>
    </w:p>
    <w:p w:rsidR="00F555D1" w:rsidRPr="001D0251" w:rsidRDefault="00F555D1" w:rsidP="00F555D1">
      <w:pPr>
        <w:widowControl w:val="0"/>
        <w:spacing w:before="120" w:after="0" w:line="360" w:lineRule="exact"/>
        <w:ind w:firstLine="567"/>
        <w:jc w:val="both"/>
        <w:rPr>
          <w:iCs/>
          <w:szCs w:val="28"/>
          <w:shd w:val="clear" w:color="auto" w:fill="FFFFFF"/>
        </w:rPr>
      </w:pPr>
      <w:r w:rsidRPr="001D0251">
        <w:rPr>
          <w:iCs/>
          <w:szCs w:val="28"/>
          <w:shd w:val="clear" w:color="auto" w:fill="FFFFFF"/>
        </w:rPr>
        <w:t>Trong trao đổi, tiếp xúc với Lãnh đạo cấp cao Nhật Bản</w:t>
      </w:r>
      <w:r w:rsidRPr="001D0251">
        <w:rPr>
          <w:szCs w:val="28"/>
          <w:vertAlign w:val="superscript"/>
        </w:rPr>
        <w:footnoteReference w:id="1"/>
      </w:r>
      <w:r w:rsidRPr="001D0251">
        <w:rPr>
          <w:iCs/>
          <w:szCs w:val="28"/>
          <w:shd w:val="clear" w:color="auto" w:fill="FFFFFF"/>
        </w:rPr>
        <w:t xml:space="preserve">, Chủ tịch Quốc hội Trần Thanh Mẫn nhất trí tăng cường trao đổi, tiếp xúc giữa các nghị sĩ, nhất là nghị sỹ trẻ và nữ nghị sỹ của hai nước; phát huy hơn nữa vai trò cầu nối quan trọng của Liên minh Nghị sỹ hữu nghị trong việc thúc đẩy giao lưu nhân dân, hợp tác doanh nghiệp và hợp tác giữa các địa phương; tiếp tục thúc đẩy trao đổi, chia sẻ kinh nghiệm giữa các Ủy ban chuyên môn; phối hợp hoàn thiện thể chế, chính sách, xây dựng hành lang pháp lý hỗ trợ doanh nghiệp hai nước mở rộng hợp tác, đầu tư tại mỗi nước. Trong chuyến thăm, Chủ tịch Quốc hội Trần Thanh Mẫn và Chủ tịch Thượng viện Sekiguchi Masakazu đã ký Thỏa thuận hợp tác giữa Quốc hội Việt Nam và Thượng viện Nhật Bản. Đây là tiền đề quan trọng để thúc đẩy quan hệ giữa hai cơ quan lập pháp lên tầm cao mới trong </w:t>
      </w:r>
      <w:r w:rsidRPr="001D0251">
        <w:rPr>
          <w:iCs/>
          <w:szCs w:val="28"/>
          <w:shd w:val="clear" w:color="auto" w:fill="FFFFFF"/>
        </w:rPr>
        <w:lastRenderedPageBreak/>
        <w:t>những năm tới. Với những tiềm năng, lợi thế sẵn có, Chủ tịch Quốc hội Trần Thanh Mẫn đề nghị Nhật Bản tiếp tục triển khai hiệu quả vốn ODA thế hệ mới có tính ưu đãi cao, thủ tục đơn giản, linh hoạt cho các dự án phát triển hạ tầng của Việt Nam, đồng thời khẳng định Quốc hội Việt Nam đang từng bước hoàn thiện hành lang pháp lý thuận lợi, cải thiện môi trường đầu tư, giúp các doanh nghiệp nước ngoài, trong đó có doanh nghiệp Nhật Bản tăng cường đầu tư ổn định, lâu dài tại Việt Nam.</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Kết quả chuyến thăm chính thức Singapore và Nhật Bản của Chủ tịch Quốc hội Trần Thanh Mẫn có ý nghĩa đặc biệt quan trọng, góp phần thúc đẩy quan hệ hợp tác trên kênh nghị viện giữa Quốc hội Việt Nam với Quốc hội Singapore, Nghị viện Nhật Bản đi vào thực chất và bền vững, qua đó góp phần thúc đẩy quan hệ Đối tác Chiến lược Việt Nam - Singapore, cụ thể hóa nội hàm quan hệ Đối tác Chiến lược toàn diện Việt Nam - Nhật Bản, củng cố quan hệ hữu nghị, hợp tác hiệu quả, thực chất giữa Việt Nam với Singapore, Nhật Bản trên tất cả các lĩnh vực.</w:t>
      </w:r>
    </w:p>
    <w:p w:rsidR="00F555D1" w:rsidRPr="001D0251" w:rsidRDefault="00F555D1" w:rsidP="00F555D1">
      <w:pPr>
        <w:widowControl w:val="0"/>
        <w:spacing w:before="120" w:after="0" w:line="360" w:lineRule="exact"/>
        <w:ind w:firstLine="567"/>
        <w:jc w:val="both"/>
        <w:rPr>
          <w:b/>
          <w:bCs/>
          <w:iCs/>
          <w:szCs w:val="28"/>
        </w:rPr>
      </w:pPr>
      <w:r w:rsidRPr="001D0251">
        <w:rPr>
          <w:b/>
          <w:spacing w:val="-4"/>
          <w:szCs w:val="28"/>
          <w:lang w:val="vi-VN"/>
        </w:rPr>
        <w:t>2</w:t>
      </w:r>
      <w:r w:rsidRPr="001D0251">
        <w:rPr>
          <w:b/>
          <w:bCs/>
          <w:iCs/>
          <w:szCs w:val="28"/>
        </w:rPr>
        <w:t>. Về tình hình Syria thời gian gần đây</w:t>
      </w:r>
    </w:p>
    <w:p w:rsidR="00F555D1" w:rsidRPr="001D0251" w:rsidRDefault="00F555D1" w:rsidP="00F555D1">
      <w:pPr>
        <w:widowControl w:val="0"/>
        <w:spacing w:before="120" w:after="0" w:line="360" w:lineRule="exact"/>
        <w:ind w:firstLine="567"/>
        <w:jc w:val="both"/>
        <w:rPr>
          <w:i/>
          <w:iCs/>
          <w:szCs w:val="28"/>
          <w:shd w:val="clear" w:color="auto" w:fill="FFFFFF"/>
        </w:rPr>
      </w:pPr>
      <w:r w:rsidRPr="001D0251">
        <w:rPr>
          <w:i/>
          <w:iCs/>
          <w:szCs w:val="28"/>
          <w:shd w:val="clear" w:color="auto" w:fill="FFFFFF"/>
        </w:rPr>
        <w:t xml:space="preserve">Từ cuối tháng 11 đến đầu tháng 12/2024, tình hình xung đột tại Syria liên tục leo thang. Ngày 08/12/2024, phiến quân Syria đã lật đổ chính quyền của Tổng thống Bashar al-Assad sau một cuộc tấn công chớp nhoáng chỉ kéo dài hai tuần. </w:t>
      </w:r>
    </w:p>
    <w:p w:rsidR="00F555D1" w:rsidRPr="001D0251" w:rsidRDefault="00F555D1" w:rsidP="00F555D1">
      <w:pPr>
        <w:widowControl w:val="0"/>
        <w:spacing w:before="120" w:after="0" w:line="360" w:lineRule="exact"/>
        <w:ind w:firstLine="567"/>
        <w:jc w:val="both"/>
        <w:rPr>
          <w:iCs/>
          <w:szCs w:val="28"/>
          <w:shd w:val="clear" w:color="auto" w:fill="FFFFFF"/>
        </w:rPr>
      </w:pPr>
      <w:r w:rsidRPr="001D0251">
        <w:rPr>
          <w:iCs/>
          <w:szCs w:val="28"/>
          <w:shd w:val="clear" w:color="auto" w:fill="FFFFFF"/>
        </w:rPr>
        <w:t>Vào cuối tháng 11, các nhóm phiến quân, dẫn đầu bởi Hayat Tahrir al-Sham (HTS), đã mở rộng tấn công, giành quyền kiểm soát một số khu vực tại Aleppo và tỉnh Idlib, Syria. Tổ chức Hayat Tahrir al-Sham (HTS) là lực lượng nòng cốt trong cuộc chiến chống lại Chính quyền Syria. Tình hình trở nên căng thẳng khi các nhóm phiến quân tiếp tục tiến sâu vào khu vực này. Nga và Iran đồng thời đẩy mạnh hỗ trợ quân sự và ngoại giao để duy trì quyền kiểm soát của chính phủ của Tổng thống Assad. Tuy nhiên, dưới tác động của cuộc xung đột Ukraine cũng như tình hình xung đột tại dải Gaza, tình hình tại Syria liên tục diễn biến xấu. Tổng thống Bashar al-Assad bị liên minh các lực lượng đối lập Hồi giáo lật đổ. Ông Assad rời bỏ đất nước và sang tị nạn tại Nga sau khi nhóm Hayat Tahrir al-Sham (HTS) tiến hành tấn công chớp nhoáng, giành thắng lợi nhanh chóng trước quân đội Syria.</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 xml:space="preserve">Diễn biến ở Syria khiến các nước Ả Rập bất ngờ và làm dấy lên lo ngại về làn sóng bất ổn mới trong khu vực. Ngoại trưởng của 5 quốc gia Ả Rập bao gồm Ai Cập, Qatar, Jordan, Iraq và Saudi Arabia, và những người đồng cấp Nga, Thổ Nhĩ Kỳ và Iran ngày 07/12/2024 đã có cuộc họp tại Doha (Qatar) nhằm tìm kiếm một giải pháp chính trị cho cuộc khủng hoảng. Trong bối cảnh lực lượng đối lập Syria giành quyền kiểm soát thủ đô Damascus, nhiều quốc gia cho biết đang theo </w:t>
      </w:r>
      <w:r w:rsidRPr="001D0251">
        <w:rPr>
          <w:iCs/>
          <w:spacing w:val="-2"/>
          <w:szCs w:val="28"/>
          <w:shd w:val="clear" w:color="auto" w:fill="FFFFFF"/>
        </w:rPr>
        <w:lastRenderedPageBreak/>
        <w:t>dõi sát tình hình nước này. Nga bày tỏ quan ngại sâu sắc về</w:t>
      </w:r>
      <w:r>
        <w:rPr>
          <w:iCs/>
          <w:spacing w:val="-2"/>
          <w:szCs w:val="28"/>
          <w:shd w:val="clear" w:color="auto" w:fill="FFFFFF"/>
        </w:rPr>
        <w:t xml:space="preserve"> tình hình tại Syria, </w:t>
      </w:r>
      <w:r w:rsidRPr="001D0251">
        <w:rPr>
          <w:iCs/>
          <w:spacing w:val="-2"/>
          <w:szCs w:val="28"/>
          <w:shd w:val="clear" w:color="auto" w:fill="FFFFFF"/>
        </w:rPr>
        <w:t>đồng thời cho biết đang theo dõi sát các diễn biến tại Trung Đông. Nga hối thúc tất cả các bên kiềm chế, tránh sử dụng vũ lực và giải quyết mọi vấn đề liên quan đến chuyển giao quyền lực thông qua các biện pháp hòa bình. Trung Quốc bày tỏ hi vọng tình hình tại Syria sớm ổn định trở lại, đồng thời tích cực hỗ trợ những công dân Trung Quốc có nguyện vọng</w:t>
      </w:r>
      <w:r>
        <w:rPr>
          <w:iCs/>
          <w:spacing w:val="-2"/>
          <w:szCs w:val="28"/>
          <w:shd w:val="clear" w:color="auto" w:fill="FFFFFF"/>
        </w:rPr>
        <w:t xml:space="preserve"> rời khỏi Syria</w:t>
      </w:r>
      <w:r w:rsidRPr="001D0251">
        <w:rPr>
          <w:iCs/>
          <w:spacing w:val="-2"/>
          <w:szCs w:val="28"/>
          <w:shd w:val="clear" w:color="auto" w:fill="FFFFFF"/>
        </w:rPr>
        <w:t> được an toàn và duy trì liên lạc với các công dân vẫn ở lại đất nước này. Ngày 09/12/2024, Tổng thống Mỹ Joe Biden đã có bài phát biểu nhấn mạnh Tổng thống Syria Bashar al-Assad phải chịu trách nhiệm về tình hình hiện nay và nhấn mạnh Hoa Kỳ sẽ hợp tác với tất cả các nhóm Syria, bao gồm cả trong quá trình do Liên hợp quốc dẫn đầu, để thiết lập một quá trình chuyển đổi từ chính quyền Assad sang một Syria độc lập, có chủ quyền và một hiến pháp mới. Trước đó, Tổng Thư ký Liên hợp quốc Antonio Guterres cho rằng cần nhiều nỗ lực tại Syria để đảm bảo quá trình chuyển giao quyền lực trật tự sau 14 năm nội chiến.</w:t>
      </w:r>
    </w:p>
    <w:p w:rsidR="00F555D1" w:rsidRPr="001D0251" w:rsidRDefault="00F555D1" w:rsidP="00F555D1">
      <w:pPr>
        <w:widowControl w:val="0"/>
        <w:spacing w:before="120" w:after="0" w:line="360" w:lineRule="exact"/>
        <w:ind w:firstLine="567"/>
        <w:jc w:val="both"/>
        <w:rPr>
          <w:iCs/>
          <w:szCs w:val="28"/>
          <w:shd w:val="clear" w:color="auto" w:fill="FFFFFF"/>
        </w:rPr>
      </w:pPr>
      <w:r w:rsidRPr="001D0251">
        <w:rPr>
          <w:iCs/>
          <w:szCs w:val="28"/>
          <w:shd w:val="clear" w:color="auto" w:fill="FFFFFF"/>
        </w:rPr>
        <w:t xml:space="preserve">Ngày 09/12/2024, Quốc hội Syria ra tuyên bố ủng hộ nguyện vọng của người dân về việc xây dựng một đất nước mới. Đến ngày 10/12/2024, Israel đã phát động một chiến dịch không kích quy mô lớn, nhằm vào các mục tiêu quân sự trên khắp Syria. Thủ tướng Israel Benjamin Netanyahu khẳng định các cuộc không kích nhằm tiêu diệt năng lực quân sự còn lại của chính quyền Tổng thống Bashar al-Assad và ngăn chặn việc vũ khí rơi vào tay các phần tử khủng bố. Diễn biến tình hình tại Syria là đột biến mới nhất về chính trị an ninh ở khu vực Trung Đông, tác động mãnh mẽ đến chiều hướng xung đột tại khu vực này. </w:t>
      </w:r>
    </w:p>
    <w:p w:rsidR="00F555D1" w:rsidRPr="001D0251" w:rsidRDefault="00F555D1" w:rsidP="00F555D1">
      <w:pPr>
        <w:widowControl w:val="0"/>
        <w:spacing w:before="120" w:after="0" w:line="360" w:lineRule="exact"/>
        <w:ind w:firstLine="567"/>
        <w:jc w:val="both"/>
        <w:rPr>
          <w:b/>
          <w:bCs/>
          <w:iCs/>
          <w:szCs w:val="28"/>
        </w:rPr>
      </w:pPr>
      <w:r w:rsidRPr="001D0251">
        <w:rPr>
          <w:b/>
          <w:bCs/>
          <w:iCs/>
          <w:szCs w:val="28"/>
        </w:rPr>
        <w:t>3. Về tình hình chính trị tại Hàn Quốc</w:t>
      </w:r>
    </w:p>
    <w:p w:rsidR="00F555D1" w:rsidRPr="001D0251" w:rsidRDefault="00F555D1" w:rsidP="00F555D1">
      <w:pPr>
        <w:widowControl w:val="0"/>
        <w:spacing w:before="120" w:after="0" w:line="360" w:lineRule="exact"/>
        <w:ind w:firstLine="567"/>
        <w:jc w:val="both"/>
        <w:rPr>
          <w:i/>
          <w:iCs/>
          <w:spacing w:val="-2"/>
          <w:szCs w:val="28"/>
          <w:shd w:val="clear" w:color="auto" w:fill="FFFFFF"/>
        </w:rPr>
      </w:pPr>
      <w:r w:rsidRPr="001D0251">
        <w:rPr>
          <w:i/>
          <w:iCs/>
          <w:spacing w:val="-2"/>
          <w:szCs w:val="28"/>
          <w:shd w:val="clear" w:color="auto" w:fill="FFFFFF"/>
        </w:rPr>
        <w:t>Hàn Quốc rơi vào khủng hoảng chính trị lớn nhất trong nhiều thập kỷ trong bối cảnh các cuộc biểu tình, tụ họp đang lan rộng trên cả nước nhằm kêu gọi Tổng thống Yoon Suk Yeol từ chức sau quyết định ban bố tình trạng thiết quân luật đêm 03/12 và sau đó được dỡ bỏ vào rạng sáng 04/12/2024.</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 xml:space="preserve">Trong phát biểu gây bất ngờ trên truyền hình vào tối ngày 03/12/2024, Tổng thống Hàn Quốc Yoon Suk Yeol đã ban bố tình trạng thiết quân luật, cáo buộc phe đối lập “có các hoạt động chống nhà nước và âm mưu nổi loạn”. Đây là lần đầu tiên kể từ năm 1980, Hàn Quốc áp dụng biện pháp này. Tuy nhiên, rạng sáng 04/12, chỉ vài giờ sau khi lệnh được ban bố, Quốc hội Hàn Quốc đã tổ chức phiên họp khẩn cấp với tỷ lệ đồng thuận 100%, thông qua nghị quyết yêu cầu dỡ bỏ lệnh thiết quân luật. Sự kiện này đã châm ngòi cho một cuộc khủng hoảng chính trị ở quốc gia này. </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 xml:space="preserve">Ngày 05/12/2024, đảng Dân chủ (DP), lực lượng đối lập chính ở Hàn Quốc cho biết họ đang thúc đẩy việc bỏ phiếu luận tội Tổng thống Yoon Suk Yeol về việc tuyên bố thiết quân luật vừa qua. DP và 5 đảng đối lập khác đã đệ trình việc </w:t>
      </w:r>
      <w:r w:rsidRPr="001D0251">
        <w:rPr>
          <w:iCs/>
          <w:spacing w:val="-2"/>
          <w:szCs w:val="28"/>
          <w:shd w:val="clear" w:color="auto" w:fill="FFFFFF"/>
        </w:rPr>
        <w:lastRenderedPageBreak/>
        <w:t>luận tội Tổng thống Yoon Suk Yeol với lập luận rằng tuyên bố thiết quân luật của Yoon cấu thành hành vi vi phạm Hiến pháp và các luật khác. Đề xuất luận tội trên do 191 nhà lập pháp đối lập đưa ra. Trước đó, ngày 12/10/2024, Quốc hội Hàn Quốc thông qua dự luật bổ nhiệm công tố viên đặc biệt thường trực để điều tra các cáo buộc hành vi của Tổng thống Yoon Suk-yeol liên quan đến nỗ lực áp đặt thiết quân luật bất thành. Các chuyên gia đánh giá, quyết định của Tổng thống Yoon không chỉ là một sự cố đơn lẻ, mà có thể là dấu hiệu của một cuộc khủng hoảng chính trị sâu sắc. Đồng thời, sự bất ổn chính trị sẽ làm tổn hại đến lòng tin của Hoa Kỳ đối với Hàn quốc như một đối tác liên minh, nhất là trong bối cảnh Tổng thống Donal Trump sẽ chính thức lên nắm quyền vào tháng 01/2024.</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Tình hình kinh tế Hàn Quốc cũng đã phải gánh chịu những tác động khi tỉ giá đồng won</w:t>
      </w:r>
      <w:r>
        <w:rPr>
          <w:iCs/>
          <w:spacing w:val="-2"/>
          <w:szCs w:val="28"/>
          <w:shd w:val="clear" w:color="auto" w:fill="FFFFFF"/>
        </w:rPr>
        <w:t xml:space="preserve"> Hàn Quốc</w:t>
      </w:r>
      <w:r w:rsidRPr="001D0251">
        <w:rPr>
          <w:iCs/>
          <w:spacing w:val="-2"/>
          <w:szCs w:val="28"/>
          <w:shd w:val="clear" w:color="auto" w:fill="FFFFFF"/>
        </w:rPr>
        <w:t> so với đồng USD giảm xuống mức thấp nhất trong hơn 2 năm. Thị trường</w:t>
      </w:r>
      <w:r>
        <w:rPr>
          <w:iCs/>
          <w:spacing w:val="-2"/>
          <w:szCs w:val="28"/>
          <w:shd w:val="clear" w:color="auto" w:fill="FFFFFF"/>
        </w:rPr>
        <w:t xml:space="preserve"> chứng khoán </w:t>
      </w:r>
      <w:r w:rsidRPr="001D0251">
        <w:rPr>
          <w:iCs/>
          <w:spacing w:val="-2"/>
          <w:szCs w:val="28"/>
          <w:shd w:val="clear" w:color="auto" w:fill="FFFFFF"/>
        </w:rPr>
        <w:t>Hàn Quốc cũng lao dốc trong phiên giao dịch ngày 09/12/2024, với chỉ số KOSPI giảm 2,78%, tương đương 67,58 điểm, xuống còn 2.360,58 điểm - mức thấp nhất kể từ tháng 11/2023.</w:t>
      </w:r>
    </w:p>
    <w:p w:rsidR="00F555D1" w:rsidRPr="001D0251" w:rsidRDefault="00F555D1" w:rsidP="00F555D1">
      <w:pPr>
        <w:widowControl w:val="0"/>
        <w:spacing w:before="120" w:after="0" w:line="360" w:lineRule="exact"/>
        <w:ind w:firstLine="567"/>
        <w:jc w:val="both"/>
        <w:rPr>
          <w:iCs/>
          <w:spacing w:val="-2"/>
          <w:szCs w:val="28"/>
          <w:shd w:val="clear" w:color="auto" w:fill="FFFFFF"/>
        </w:rPr>
      </w:pPr>
      <w:r w:rsidRPr="001D0251">
        <w:rPr>
          <w:iCs/>
          <w:spacing w:val="-2"/>
          <w:szCs w:val="28"/>
          <w:shd w:val="clear" w:color="auto" w:fill="FFFFFF"/>
        </w:rPr>
        <w:t>Trước những lo ngại từ các diễn biến gần đây, Bộ Ngoại giao Hàn Quốc đã gửi thông báo đến các phái đoàn ngoại giao tại Seoul, khẳng định tình hình an ninh trong nước vẫn ổn định; sự kiện xảy ra đêm ngày 03/12/2024 không gây ảnh hưởng đến các hoạt động du lịch, kinh doanh hay cuộc sống của người dân. Bộ Ngoại giao Hàn Quốc cũng mong muốn các phái đoàn ngoại giao chia sẻ thông tin này đến các quốc gia, tránh những biện pháp phòng ngừa quá mức có thể tác động đến hoạt động kinh tế và du lịch tại quốc gia này. Đồng thời, khẳng định Hàn Quốc quyết tâm duy trì môi trường an toàn, ổn định để đảm bảo cuộc sống người dân và các hoạt động quốc tế không bị gián đoạn.</w:t>
      </w:r>
    </w:p>
    <w:p w:rsidR="00F555D1" w:rsidRPr="001D0251" w:rsidRDefault="00F555D1" w:rsidP="00F555D1">
      <w:pPr>
        <w:spacing w:before="120" w:after="0" w:line="360" w:lineRule="exact"/>
        <w:ind w:firstLine="567"/>
        <w:jc w:val="both"/>
        <w:rPr>
          <w:b/>
          <w:bCs/>
          <w:szCs w:val="28"/>
        </w:rPr>
      </w:pPr>
      <w:r w:rsidRPr="001D0251">
        <w:rPr>
          <w:b/>
          <w:bCs/>
          <w:szCs w:val="28"/>
        </w:rPr>
        <w:t>4. Về cuộc khủng hoảng trên chính trường Pháp</w:t>
      </w:r>
    </w:p>
    <w:p w:rsidR="00F555D1" w:rsidRPr="001D0251" w:rsidRDefault="00F555D1" w:rsidP="00F555D1">
      <w:pPr>
        <w:spacing w:before="120" w:after="0" w:line="360" w:lineRule="exact"/>
        <w:ind w:firstLine="567"/>
        <w:jc w:val="both"/>
        <w:rPr>
          <w:i/>
          <w:szCs w:val="28"/>
        </w:rPr>
      </w:pPr>
      <w:r w:rsidRPr="001D0251">
        <w:rPr>
          <w:i/>
          <w:szCs w:val="28"/>
        </w:rPr>
        <w:t>Thủ tướng Pháp Michel Barnier đã bị buộc phải từ chức sau khi các nghị sĩ cánh hữu và cánh tả thống nhất bỏ phiếu bất tín nhiệm chống lại ông. Việc chính phủ Pháp sụp đổ đã đẩy nước Pháp vào tình trạng bất ổn sâu sắc hơn nữa, đồng thời tạo ra khoảng trống quyền lực ở châu Âu, đặc biệt trong bối cảnh Đức đang trong giai đoạn bầu cử và Mỹ chuẩn bị cho sự trở lại của Tổng thống đắc cử Donald Trump.</w:t>
      </w:r>
    </w:p>
    <w:p w:rsidR="00F555D1" w:rsidRPr="001D0251" w:rsidRDefault="00F555D1" w:rsidP="00F555D1">
      <w:pPr>
        <w:spacing w:before="120" w:after="0" w:line="360" w:lineRule="exact"/>
        <w:ind w:firstLine="567"/>
        <w:jc w:val="both"/>
        <w:rPr>
          <w:szCs w:val="28"/>
        </w:rPr>
      </w:pPr>
      <w:r w:rsidRPr="001D0251">
        <w:rPr>
          <w:szCs w:val="28"/>
        </w:rPr>
        <w:t>Ngày 04/12/2024, đa số đại biểu trong Quốc hội Pháp đã bỏ phiếu tán thành kiến nghị bất tín nhiệm đối với chính phủ, buộc Thủ tướng Michel Barnier phải từ chức. Với sự ủng hộ của các đại biểu thuộc đảng Tập hợp Quốc gia (RN), bản kiến nghị của liên minh cánh tả Mặt trận Bình dân mới (NFP) đã nhận được 331 phiếu bầu, vượt xa con số 288 cần thiết để được thông qua.</w:t>
      </w:r>
    </w:p>
    <w:p w:rsidR="00F555D1" w:rsidRPr="001D0251" w:rsidRDefault="00F555D1" w:rsidP="00F555D1">
      <w:pPr>
        <w:spacing w:before="120" w:after="0" w:line="360" w:lineRule="exact"/>
        <w:ind w:firstLine="567"/>
        <w:jc w:val="both"/>
        <w:rPr>
          <w:szCs w:val="28"/>
        </w:rPr>
      </w:pPr>
      <w:r w:rsidRPr="001D0251">
        <w:rPr>
          <w:szCs w:val="28"/>
        </w:rPr>
        <w:t xml:space="preserve">NFP đưa ra kiến nghị sau khi Thủ tướng Michel Barnier kích hoạt điều khoản 49.3 trong Hiến pháp để thông qua dự thảo Ngân sách An sinh xã hội năm </w:t>
      </w:r>
      <w:r w:rsidRPr="001D0251">
        <w:rPr>
          <w:szCs w:val="28"/>
        </w:rPr>
        <w:lastRenderedPageBreak/>
        <w:t>2025 mà không cần bỏ phiếu tại quốc hội. Động thái của cánh tả đã nhận được sự ủng hộ của đảng cực hữu RN - đảng cũng đưa ra một kiến nghị tương tự. Như vậy, phe cực hữu đã có sự thay đổi về lập trường: từ tuyên bố sẽ “để cho chính phủ tồn tại trong một năm” đến việc tán thành kiến nghị bất tín nhiệm của cánh tả lật đổ bộ máy hành pháp này chỉ sau gần 3 tháng.</w:t>
      </w:r>
    </w:p>
    <w:p w:rsidR="00F555D1" w:rsidRPr="001D0251" w:rsidRDefault="00F555D1" w:rsidP="00F555D1">
      <w:pPr>
        <w:spacing w:before="120" w:after="0" w:line="360" w:lineRule="exact"/>
        <w:ind w:firstLine="567"/>
        <w:jc w:val="both"/>
        <w:rPr>
          <w:szCs w:val="28"/>
        </w:rPr>
      </w:pPr>
      <w:r w:rsidRPr="001D0251">
        <w:rPr>
          <w:szCs w:val="28"/>
        </w:rPr>
        <w:t>Như vậy, Thủ tướng Barnier đã trở thành thủ tướng Pháp đầu tiên bị buộc phải từ chức bởi một cuộc bỏ phiếu bất tín nhiệm kể từ năm 1962. Ông Michel Barnier cũng trở thành Thủ tướng có thời gian cầm quyền ngắn nhất trong lịch sử nền Cộng hòa thứ 5 của Pháp, với chỉ 3 tháng tại nhiệm. Đây là một bước ngoặt chưa từng có trong lịch sử chính trị hiện đại của Pháp. Sự việc đã khiến uy tín lãnh đạo của Tổng thống Emmanuel Macron thêm sụt giảm và đối mặt với sức ép lớn ngày càng lớn.</w:t>
      </w:r>
    </w:p>
    <w:p w:rsidR="00F555D1" w:rsidRPr="001D0251" w:rsidRDefault="00F555D1" w:rsidP="00F555D1">
      <w:pPr>
        <w:spacing w:before="120" w:after="0" w:line="360" w:lineRule="exact"/>
        <w:ind w:firstLine="567"/>
        <w:jc w:val="both"/>
        <w:rPr>
          <w:szCs w:val="28"/>
        </w:rPr>
      </w:pPr>
      <w:r w:rsidRPr="001D0251">
        <w:rPr>
          <w:szCs w:val="28"/>
        </w:rPr>
        <w:t>Theo các chuyên gia, với việc chính phủ sụp đổ, gần như chắc chắn rằng nước Pháp sẽ bắt đầu năm 2025 mà không có ngân sách mới. Việc thiếu ngân sách sẽ làm phức tạp thêm các nỗ lực giải quyết nợ mà Pháp đã cam kết với Liên minh châu Âu (EU). Bị đưa vào diện áp dụng thủ tục thâm hụt quá mức, nếu không tuân thủ cam kết, Pháp sẽ phải nộp mức phạt lên tới 0,05%.</w:t>
      </w:r>
    </w:p>
    <w:p w:rsidR="00F555D1" w:rsidRPr="001D0251" w:rsidRDefault="00F555D1" w:rsidP="00F555D1">
      <w:pPr>
        <w:spacing w:before="120" w:after="0" w:line="360" w:lineRule="exact"/>
        <w:ind w:firstLine="567"/>
        <w:jc w:val="both"/>
        <w:rPr>
          <w:szCs w:val="28"/>
        </w:rPr>
      </w:pPr>
      <w:r w:rsidRPr="001D0251">
        <w:rPr>
          <w:szCs w:val="28"/>
        </w:rPr>
        <w:t>Việc không sớm tìm được lối thoát chính trị cũng sẽ gây ảnh hưởng lớn đến nền kinh tế Pháp. Bất ổn chính trị kéo dài kể từ khi giải tán quốc hội đã gây tâm lý lo lắng tiềm ẩn trong giới đầu tư, làm gia tăng khoảng cách giữa lãi suất trái phiếu chính phủ 10 năm của Pháp - hiện đã vượt quá 80 điểm cơ bản, mức cao nhất kể từ năm 2012. Chi phí nợ của Pháp vốn đã rất cao có thể sẽ tiếp tục tăng thêm, khiến Pháp phải đi vay với giá cao, thậm chí gần bằng với Hy Lạp.</w:t>
      </w:r>
    </w:p>
    <w:p w:rsidR="00F555D1" w:rsidRPr="001D0251" w:rsidRDefault="00F555D1" w:rsidP="00F555D1">
      <w:pPr>
        <w:spacing w:before="120" w:after="0" w:line="360" w:lineRule="exact"/>
        <w:ind w:firstLine="567"/>
        <w:jc w:val="both"/>
        <w:rPr>
          <w:szCs w:val="28"/>
        </w:rPr>
      </w:pPr>
      <w:r w:rsidRPr="001D0251">
        <w:rPr>
          <w:szCs w:val="28"/>
        </w:rPr>
        <w:t>Cơ quan quan sát Tình hình kinh tế Pháp (OFCE) đã định lượng thiệt hại do bất ổn chính trị gây ra cho nền kinh tế Pháp ở mức 0,2 điểm GDP vào năm 2025, khiến dự báo tăng trưởng của nước này bị hạn chế ở mức 0,8% trong năm tới. Các doanh nghiệp sẽ giảm tốc độ đầu tư, và tăng trưởng có thể giảm xuống còn 0,5% trong năm 2025. Trong khi đó, các đảng cánh tả và cực hữu sẽ tranh thủ cơ hội này để phát động các cuộc biểu tình, tuần hành, đình công nhằm phản đối chính quyền Tổng thống Macron, đẩy nước Pháp vào một thời kỳ bất ổn mới, căng thẳng xã hội tiếp tục leo thang.</w:t>
      </w:r>
    </w:p>
    <w:p w:rsidR="00F555D1" w:rsidRPr="001D0251" w:rsidRDefault="00F555D1" w:rsidP="00F555D1">
      <w:pPr>
        <w:spacing w:before="120" w:after="0" w:line="360" w:lineRule="exact"/>
        <w:ind w:firstLine="567"/>
        <w:jc w:val="both"/>
        <w:rPr>
          <w:szCs w:val="28"/>
        </w:rPr>
      </w:pPr>
      <w:r w:rsidRPr="001D0251">
        <w:rPr>
          <w:szCs w:val="28"/>
        </w:rPr>
        <w:t>Các chuyên gia cho rằng, sự sụp đổ của chính phủ Pháp sẽ kéo theo nhiều hệ luỵ và tác động nghiêm trọng tới tình hình chính trị và kinh tế khu vực châu Âu bởi vị thế cường quốc của Pháp trong EU, nhất là trong việc giải quyết các vấn đề quốc tế quan trọng của Khối như khí hậu, an ninh, kinh tế và cạnh tranh thương mại...</w:t>
      </w:r>
    </w:p>
    <w:p w:rsidR="00F555D1" w:rsidRPr="001D0251" w:rsidRDefault="00F555D1" w:rsidP="00F555D1">
      <w:pPr>
        <w:spacing w:before="120" w:after="0" w:line="360" w:lineRule="exact"/>
        <w:ind w:firstLine="567"/>
        <w:jc w:val="both"/>
        <w:rPr>
          <w:szCs w:val="28"/>
        </w:rPr>
      </w:pPr>
      <w:r w:rsidRPr="001D0251">
        <w:rPr>
          <w:szCs w:val="28"/>
        </w:rPr>
        <w:t xml:space="preserve">Về kinh tế, tình trạng bất ổn tại Pháp cũng được cho là sẽ lan rộng sang các quốc gia khác thuộc khu vực đồng euro. Đồng euro đã mất 0,5% giá trị so với </w:t>
      </w:r>
      <w:r w:rsidRPr="001D0251">
        <w:rPr>
          <w:szCs w:val="28"/>
        </w:rPr>
        <w:lastRenderedPageBreak/>
        <w:t>đồng đô la Mỹ ngay sau khi chính phủ Thủ tướng Barnier sụp đổ và tiếp tục sẽ chịu áp lực giảm giá, không chỉ vì tình hình tại Pháp mà còn do các bất ổn chính trị tương tự ở Đức. Thị trường tài chính khu vực đồng euro đang đối mặt với rủi ro lớn hơn, đặc biệt khi các nhà đầu tư quốc tế đang và sẽ chuyển hướng sang các thị trường an toàn hơn như Mỹ với Tổng thống đắc cử Donald Trump cùng chính sách mang tính bảo hộ “Nước Mỹ trên hết”.</w:t>
      </w:r>
    </w:p>
    <w:p w:rsidR="00F555D1" w:rsidRPr="001D0251" w:rsidRDefault="00F555D1" w:rsidP="00F555D1">
      <w:pPr>
        <w:widowControl w:val="0"/>
        <w:spacing w:before="120" w:after="0" w:line="360" w:lineRule="exact"/>
        <w:ind w:firstLine="567"/>
        <w:jc w:val="both"/>
        <w:rPr>
          <w:b/>
          <w:bCs/>
          <w:iCs/>
          <w:szCs w:val="28"/>
        </w:rPr>
      </w:pPr>
      <w:r w:rsidRPr="001D0251">
        <w:rPr>
          <w:b/>
          <w:bCs/>
          <w:iCs/>
          <w:szCs w:val="28"/>
        </w:rPr>
        <w:t>5. Một số diễn biến tình hình thế giới thời gian gần đây</w:t>
      </w:r>
    </w:p>
    <w:p w:rsidR="00F555D1" w:rsidRPr="001D0251" w:rsidRDefault="00F555D1" w:rsidP="00F555D1">
      <w:pPr>
        <w:widowControl w:val="0"/>
        <w:spacing w:before="120" w:after="0" w:line="360" w:lineRule="exact"/>
        <w:ind w:firstLine="567"/>
        <w:jc w:val="both"/>
        <w:rPr>
          <w:iCs/>
          <w:szCs w:val="28"/>
        </w:rPr>
      </w:pPr>
      <w:r w:rsidRPr="001D0251">
        <w:rPr>
          <w:b/>
          <w:bCs/>
          <w:i/>
          <w:szCs w:val="28"/>
        </w:rPr>
        <w:t xml:space="preserve">- </w:t>
      </w:r>
      <w:r w:rsidRPr="001D0251">
        <w:rPr>
          <w:i/>
          <w:szCs w:val="28"/>
        </w:rPr>
        <w:t>Hội nghị cấp bộ trưởng lần thứ 26 của Diễn đàn các nước xuất khẩu khí đốt (GECF)</w:t>
      </w:r>
      <w:r w:rsidRPr="001D0251">
        <w:rPr>
          <w:iCs/>
          <w:szCs w:val="28"/>
        </w:rPr>
        <w:t xml:space="preserve"> tổ chức ngày 08/12/2024 tại thủ đô Tehran (Iran). GECF có 12 thành viên chính thức, bao gồm Algeria, Bolivia, Ai Cập, Guinea Xích Đạo, Iran, Libya, Nigeria, Qatar, Nga, Trinidad và Tobago, Các Tiểu vương quốc Arab Thống nhất (UAE) và Venezuela. Phát biểu tại lễ khai mạc, Bộ trưởng Dầu mỏ Iran Mohsen Paknejad cảnh báo, căng thẳng và các mối đe dọa ở khu vực Tây Á, bao gồm cả ở Dải Gaza, Liban và Syria, làm suy yếu sự ổn định của khu vực và ảnh hưởng đến an ninh năng lượng toàn cầu. Hội nghị đã khẳng định các mục tiêu của GECF và tầm quan trọng của hợp tác đa phương nhằm giải quyết các thách thức liên quan đến an ninh năng lượng, ổn định và bền vững. Đồng thời, khẳng định mức tiêu thụ khí đốt tự nhiên cao kỷ lục vào năm 2023 và ghi nhận dự đoán rằng mức tiêu thụ khí đốt tự nhiên toàn cầu sẽ tăng 34% vào năm 2050.</w:t>
      </w:r>
    </w:p>
    <w:p w:rsidR="00F555D1" w:rsidRPr="001D0251" w:rsidRDefault="00F555D1" w:rsidP="00F555D1">
      <w:pPr>
        <w:widowControl w:val="0"/>
        <w:spacing w:before="120" w:after="0" w:line="360" w:lineRule="exact"/>
        <w:ind w:firstLine="567"/>
        <w:jc w:val="both"/>
        <w:rPr>
          <w:bCs/>
          <w:iCs/>
          <w:szCs w:val="28"/>
        </w:rPr>
      </w:pPr>
      <w:r w:rsidRPr="001D0251">
        <w:rPr>
          <w:bCs/>
          <w:iCs/>
          <w:szCs w:val="28"/>
        </w:rPr>
        <w:t>- Ngày 09/12/2024, Cơ quan giám sát khí hậu châu Âu Copernicus nhấn mạnh, năm 2024 "chắc chắn" là năm nóng nhất được ghi nhận từ trước đến nay và là năm đầu tiên vượt "lằn ranh đỏ" vốn được vạch ra trong việc bảo vệ hành tinh khỏi tình trạng quá nóng đến mức nguy hiểm. căn cứ dữ liệu tạm thời về mức tăng gần 1,6 độ C, năm 2024 còn là năm dương lịch đầu tiên có nền nhiệt trung bình cao hơn 1,5 độ C so với thời kỳ tiền công nghiệp (từ năm 1850-1900) khi nhân loại bắt đầu sử dụng lượng lớn nhiên liệu hóa thạch. Tuyên bố của Copernicus phản ánh một năm mà các nước giàu và nghèo đều phải hứng chịu nhiều thiên tai nghiêm trọng do biến đổi khí hậu xuất phát từ nguyên nhân con người. Nhà khoa học Julien Nicolas tại Copernicus nhận định năm 2025 sẽ bắt đầu với nhiệt độ toàn cầu “ở mức gần kỷ lục” và điều này có thể kéo dài trong vài tháng tới. </w:t>
      </w:r>
    </w:p>
    <w:p w:rsidR="00F555D1" w:rsidRPr="005B3DC3" w:rsidRDefault="00F555D1" w:rsidP="00F555D1">
      <w:pPr>
        <w:spacing w:before="120" w:after="0" w:line="360" w:lineRule="exact"/>
        <w:ind w:firstLine="567"/>
        <w:jc w:val="both"/>
        <w:rPr>
          <w:b/>
          <w:szCs w:val="28"/>
        </w:rPr>
      </w:pPr>
      <w:r>
        <w:rPr>
          <w:b/>
          <w:szCs w:val="28"/>
        </w:rPr>
        <w:t>II</w:t>
      </w:r>
      <w:r w:rsidRPr="005B3DC3">
        <w:rPr>
          <w:b/>
          <w:szCs w:val="28"/>
        </w:rPr>
        <w:t xml:space="preserve">. </w:t>
      </w:r>
      <w:r>
        <w:rPr>
          <w:b/>
          <w:szCs w:val="28"/>
        </w:rPr>
        <w:t xml:space="preserve">THÔNG TIN THỜI SỰ </w:t>
      </w:r>
      <w:r w:rsidRPr="005B3DC3">
        <w:rPr>
          <w:b/>
          <w:szCs w:val="28"/>
        </w:rPr>
        <w:t xml:space="preserve">TRONG NƯỚC </w:t>
      </w:r>
    </w:p>
    <w:p w:rsidR="00F555D1" w:rsidRPr="001D0251" w:rsidRDefault="00F555D1" w:rsidP="00F555D1">
      <w:pPr>
        <w:spacing w:before="120" w:after="0" w:line="360" w:lineRule="exact"/>
        <w:ind w:firstLine="567"/>
        <w:jc w:val="both"/>
        <w:rPr>
          <w:b/>
          <w:bCs/>
          <w:szCs w:val="28"/>
        </w:rPr>
      </w:pPr>
      <w:r w:rsidRPr="005B3DC3">
        <w:rPr>
          <w:b/>
          <w:szCs w:val="28"/>
        </w:rPr>
        <w:t xml:space="preserve">1. </w:t>
      </w:r>
      <w:r w:rsidRPr="001D0251">
        <w:rPr>
          <w:b/>
          <w:bCs/>
          <w:szCs w:val="28"/>
        </w:rPr>
        <w:t>Kế hoạch phát triển kinh tế - xã hội năm 2025</w:t>
      </w:r>
    </w:p>
    <w:p w:rsidR="00F555D1" w:rsidRPr="001D0251" w:rsidRDefault="00F555D1" w:rsidP="00F555D1">
      <w:pPr>
        <w:spacing w:before="120" w:after="0" w:line="360" w:lineRule="exact"/>
        <w:ind w:firstLine="567"/>
        <w:jc w:val="both"/>
        <w:rPr>
          <w:szCs w:val="28"/>
        </w:rPr>
      </w:pPr>
      <w:r w:rsidRPr="001D0251">
        <w:rPr>
          <w:szCs w:val="28"/>
        </w:rPr>
        <w:t>Quốc hội ban hành Nghị quyết số 158/2024/QH15 về Kế hoạch phát triển kinh tế - xã hội năm 2025, trong đó có một số nội dung chủ yếu sau:</w:t>
      </w:r>
    </w:p>
    <w:p w:rsidR="00F555D1" w:rsidRPr="001D0251" w:rsidRDefault="00F555D1" w:rsidP="00F555D1">
      <w:pPr>
        <w:spacing w:before="120" w:after="0" w:line="360" w:lineRule="exact"/>
        <w:ind w:firstLine="567"/>
        <w:jc w:val="both"/>
        <w:rPr>
          <w:i/>
          <w:iCs/>
          <w:szCs w:val="28"/>
        </w:rPr>
      </w:pPr>
      <w:r w:rsidRPr="001D0251">
        <w:rPr>
          <w:i/>
          <w:iCs/>
          <w:szCs w:val="28"/>
        </w:rPr>
        <w:t xml:space="preserve">Mục tiêu tổng quát: </w:t>
      </w:r>
      <w:r w:rsidRPr="001D0251">
        <w:rPr>
          <w:szCs w:val="28"/>
        </w:rPr>
        <w:t xml:space="preserve">Năm 2025 là năm tăng tốc, bứt phá, về đích; phấn đấu đạt kết quả cao nhất các mục tiêu, chỉ tiêu của Kế hoạch phát triển kinh tế - xã </w:t>
      </w:r>
      <w:r w:rsidRPr="001D0251">
        <w:rPr>
          <w:szCs w:val="28"/>
        </w:rPr>
        <w:lastRenderedPageBreak/>
        <w:t>hội 5 năm 2021 - 2025. Tiếp tục ưu tiên thúc đẩy tăng trưởng trên cơ sở giữ vững ổn định kinh tế vĩ mô, kiểm soát lạm phát, bảo đảm các cân đối lớn của nền kinh tế.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Thực hiện cơ cấu lại các ngành, lĩnh vực thực chất, hiệu quả gắn với đổi mới mô hình tăng trưởng, nâng cao năng suất, chất lượng, khả năng chống chịu và sức cạnh tranh của nền kinh tế. Đẩy nhanh tiến độ, bảo đảm chất lượng, sớm hoàn thành các công trình, dự án hạ tầng chiến lược, quan trọng quốc gia, khai thác hiệu quả không gian phát triển mới. Chú trọng xây dựng nguồn nhân lực chất lượng cao, nhất là cho những ngành, lĩnh vực ưu tiên, mới nổi; thúc đẩy mạnh mẽ khoa học công nghệ, đổi mới sáng tạo, chuyển đổi số, kinh tế xanh, kinh tế số, kinh tế tuần hoàn gắn với bảo đảm an ninh, an toàn để thúc đẩy phát triển. Phát triển văn hoá, xã hội gắn kết chặt chẽ, hài hoà với phát triển kinh tế; bảo đảm an sinh xã hội, nâng cao phúc lợi xã hội, cải thiện đời sống nhân dân. 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là để thúc đẩy sự phát triển kinh tế - xã hội, không hình sự hoá các quan hệ kinh tế và dân sự; đẩy mạnh thực hành tiết kiệm, chống lãng phí. Làm tốt hơn nữa công tác truyền thông chính sách, thông tin, tuyên truyền với tinh thần lấy tích cực đẩy lùi tiêu cực, nâng cao hiệu quả công tác dân vận, tạo đồng thuận xã hội. Củng cố, tăng cường quốc phòng, an ninh, bảo vệ vững chắc độc lập, chủ quyền; giữ vững an ninh chính trị, trật tự, an toàn xã hội; đẩy mạnh đối ngoại và hội nhập quốc tế; nâng cao uy tín, vị thế nước ta trên trường quốc tế.</w:t>
      </w:r>
    </w:p>
    <w:p w:rsidR="00F555D1" w:rsidRPr="001D0251" w:rsidRDefault="00F555D1" w:rsidP="00F555D1">
      <w:pPr>
        <w:spacing w:before="120" w:after="0" w:line="360" w:lineRule="exact"/>
        <w:ind w:firstLine="567"/>
        <w:jc w:val="both"/>
        <w:rPr>
          <w:i/>
          <w:iCs/>
          <w:szCs w:val="28"/>
        </w:rPr>
      </w:pPr>
      <w:r w:rsidRPr="001D0251">
        <w:rPr>
          <w:i/>
          <w:iCs/>
          <w:szCs w:val="28"/>
        </w:rPr>
        <w:t>Một số nhiệm vụ và giải pháp chủ yếu:</w:t>
      </w:r>
    </w:p>
    <w:p w:rsidR="00F555D1" w:rsidRPr="001D0251" w:rsidRDefault="00F555D1" w:rsidP="00F555D1">
      <w:pPr>
        <w:spacing w:before="120" w:after="0" w:line="360" w:lineRule="exact"/>
        <w:ind w:firstLine="567"/>
        <w:jc w:val="both"/>
        <w:rPr>
          <w:szCs w:val="28"/>
        </w:rPr>
      </w:pPr>
      <w:r w:rsidRPr="001D0251">
        <w:rPr>
          <w:szCs w:val="28"/>
        </w:rPr>
        <w:t>- 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w:t>
      </w:r>
    </w:p>
    <w:p w:rsidR="00F555D1" w:rsidRPr="001D0251" w:rsidRDefault="00F555D1" w:rsidP="00F555D1">
      <w:pPr>
        <w:spacing w:before="120" w:after="0" w:line="360" w:lineRule="exact"/>
        <w:ind w:firstLine="567"/>
        <w:jc w:val="both"/>
        <w:rPr>
          <w:szCs w:val="28"/>
        </w:rPr>
      </w:pPr>
      <w:r w:rsidRPr="001D0251">
        <w:rPr>
          <w:szCs w:val="28"/>
        </w:rPr>
        <w:t>- Ưu tiên thúc đẩy tăng trưởng kinh tế, hỗ trợ sản xuất kinh doanh đồng thời giữ vững ổn định kinh tế vĩ mô, kiểm soát lạm phát, bảo đảm các cân đối lớn của nền kinh tế.</w:t>
      </w:r>
    </w:p>
    <w:p w:rsidR="00F555D1" w:rsidRPr="001D0251" w:rsidRDefault="00F555D1" w:rsidP="00F555D1">
      <w:pPr>
        <w:spacing w:before="120" w:after="0" w:line="360" w:lineRule="exact"/>
        <w:ind w:firstLine="567"/>
        <w:jc w:val="both"/>
        <w:rPr>
          <w:szCs w:val="28"/>
        </w:rPr>
      </w:pPr>
      <w:r w:rsidRPr="001D0251">
        <w:rPr>
          <w:szCs w:val="28"/>
        </w:rPr>
        <w:lastRenderedPageBreak/>
        <w:t>- Tăng cường phân cấp, phân quyền cho địa phương, nâng cao trách nhiệm người đứng đầu; đẩy mạnh hơn nữa công tác phòng, chống tham nhũng, lãng phí, tiêu cực, lợi ích nhóm; siết chặt kỷ luật, kỷ cương hành chính gắn với kiểm tra, giám sát, kiểm soát quyền lực và phân bổ nguồn lực, nâng cao năng lực thực thi.</w:t>
      </w:r>
    </w:p>
    <w:p w:rsidR="00F555D1" w:rsidRPr="001D0251" w:rsidRDefault="00F555D1" w:rsidP="00F555D1">
      <w:pPr>
        <w:spacing w:before="120" w:after="0" w:line="360" w:lineRule="exact"/>
        <w:ind w:firstLine="567"/>
        <w:jc w:val="both"/>
        <w:rPr>
          <w:szCs w:val="28"/>
        </w:rPr>
      </w:pPr>
      <w:r w:rsidRPr="001D0251">
        <w:rPr>
          <w:szCs w:val="28"/>
        </w:rPr>
        <w:t>- Tập trung các nguồn lực, nhất là nguồn lực tài chính để hoàn thiện hệ thống kết cấu hạ tầng chiến lược đồng bộ, hiện đại, ưu tiên công trình hạ tầng giao thông trọng điểm, quan trọng quốc gia, hệ thống đường bộ cao tốc, đường sắt tốc độ cao, các dự án có tính liên vùng và hạ tầng đô thị lớn, hạ tầng chuyển đổi số; kết nối hệ thống cao tốc với sân bay, cảng biển và triển khai hệ thống đường sắt tốc độ cao, đường sắt đô thị.</w:t>
      </w:r>
    </w:p>
    <w:p w:rsidR="00F555D1" w:rsidRPr="001D0251" w:rsidRDefault="00F555D1" w:rsidP="00F555D1">
      <w:pPr>
        <w:spacing w:before="120" w:after="0" w:line="360" w:lineRule="exact"/>
        <w:ind w:firstLine="567"/>
        <w:jc w:val="both"/>
        <w:rPr>
          <w:spacing w:val="-2"/>
          <w:szCs w:val="28"/>
        </w:rPr>
      </w:pPr>
      <w:r w:rsidRPr="001D0251">
        <w:rPr>
          <w:spacing w:val="-2"/>
          <w:szCs w:val="28"/>
        </w:rPr>
        <w:t>- Tập trung thực hiện cơ cấu lại các ngành, lĩnh vực và trong nội ngành gắn với đổi mới mô hình tăng trưởng theo hướng tăng cường ứng dụng khoa học công nghệ, đẩy mạnh đổi mới sáng tạo, nâng cao năng suất, chất lượng, hiệu quả, sức cạnh tranh, tính tự chủ, khả năng thích ứng và sức chống chịu của nền kinh tế.</w:t>
      </w:r>
    </w:p>
    <w:p w:rsidR="00F555D1" w:rsidRPr="001D0251" w:rsidRDefault="00F555D1" w:rsidP="00F555D1">
      <w:pPr>
        <w:spacing w:before="120" w:after="0" w:line="360" w:lineRule="exact"/>
        <w:ind w:firstLine="567"/>
        <w:jc w:val="both"/>
        <w:rPr>
          <w:szCs w:val="28"/>
        </w:rPr>
      </w:pPr>
      <w:r w:rsidRPr="001D0251">
        <w:rPr>
          <w:szCs w:val="28"/>
        </w:rPr>
        <w:t>- Chú trọng phát triển nguồn nhân lực chất lượng cao gắn với đẩy mạnh nghiên cứu khoa học, phát triển và ứng dụng công nghệ, thúc đẩy đổi mới sáng tạo, phong trào khởi nghiệp, sáng tạo.</w:t>
      </w:r>
    </w:p>
    <w:p w:rsidR="00F555D1" w:rsidRPr="001D0251" w:rsidRDefault="00F555D1" w:rsidP="00F555D1">
      <w:pPr>
        <w:spacing w:before="120" w:after="0" w:line="360" w:lineRule="exact"/>
        <w:ind w:firstLine="567"/>
        <w:jc w:val="both"/>
        <w:rPr>
          <w:szCs w:val="28"/>
        </w:rPr>
      </w:pPr>
      <w:r w:rsidRPr="001D0251">
        <w:rPr>
          <w:szCs w:val="28"/>
        </w:rPr>
        <w:t>- Thực hiện tiến bộ, công bằng xã hội, nâng cao đời sống vật chất, tinh thần và sức khỏe Nhân dân; đầu tư phát triển công nghiệp văn hóa.</w:t>
      </w:r>
    </w:p>
    <w:p w:rsidR="00F555D1" w:rsidRPr="001D0251" w:rsidRDefault="00F555D1" w:rsidP="00F555D1">
      <w:pPr>
        <w:spacing w:before="120" w:after="0" w:line="360" w:lineRule="exact"/>
        <w:ind w:firstLine="567"/>
        <w:jc w:val="both"/>
        <w:rPr>
          <w:szCs w:val="28"/>
        </w:rPr>
      </w:pPr>
      <w:r w:rsidRPr="001D0251">
        <w:rPr>
          <w:szCs w:val="28"/>
        </w:rPr>
        <w:t>- Chủ động ứng phó với biến đổi khí hậu, phòng, chống thiên tai, tăng cường quản lý tài nguyên và bảo vệ môi trường; giải quyết hài hòa mối quan hệ giữa phát triển kinh tế với bảo vệ môi trường.</w:t>
      </w:r>
    </w:p>
    <w:p w:rsidR="00F555D1" w:rsidRPr="001D0251" w:rsidRDefault="00F555D1" w:rsidP="00F555D1">
      <w:pPr>
        <w:spacing w:before="120" w:after="0" w:line="360" w:lineRule="exact"/>
        <w:ind w:firstLine="567"/>
        <w:jc w:val="both"/>
        <w:rPr>
          <w:szCs w:val="28"/>
        </w:rPr>
      </w:pPr>
      <w:r w:rsidRPr="001D0251">
        <w:rPr>
          <w:szCs w:val="28"/>
        </w:rPr>
        <w:t>- Tăng cường liên kết vùng, thực hiện hiệu quả quy hoạch cấp quốc gia, quy hoạch vùng, quy hoạch tỉnh; đẩy nhanh tốc độ, nâng cao chất lượng đô thị hoá và kinh tế đô thị.</w:t>
      </w:r>
    </w:p>
    <w:p w:rsidR="00F555D1" w:rsidRPr="001D0251" w:rsidRDefault="00F555D1" w:rsidP="00F555D1">
      <w:pPr>
        <w:spacing w:before="120" w:after="0" w:line="360" w:lineRule="exact"/>
        <w:ind w:firstLine="567"/>
        <w:jc w:val="both"/>
        <w:rPr>
          <w:spacing w:val="-2"/>
          <w:szCs w:val="28"/>
        </w:rPr>
      </w:pPr>
      <w:r w:rsidRPr="001D0251">
        <w:rPr>
          <w:spacing w:val="-2"/>
          <w:szCs w:val="28"/>
        </w:rPr>
        <w:t>- Tăng cường, củng cố tiềm lực quốc phòng, an ninh, bảo vệ vững chắc độc lập, chủ quyền, thống nhất toàn vẹn lãnh thổ; bảo đảm an ninh, trật tự, an toàn xã hội.</w:t>
      </w:r>
    </w:p>
    <w:p w:rsidR="00F555D1" w:rsidRPr="001D0251" w:rsidRDefault="00F555D1" w:rsidP="00F555D1">
      <w:pPr>
        <w:spacing w:before="120" w:after="0" w:line="360" w:lineRule="exact"/>
        <w:ind w:firstLine="567"/>
        <w:jc w:val="both"/>
        <w:rPr>
          <w:szCs w:val="28"/>
        </w:rPr>
      </w:pPr>
      <w:r w:rsidRPr="001D0251">
        <w:rPr>
          <w:szCs w:val="28"/>
        </w:rPr>
        <w:t>- Đẩy mạnh triển khai đồng bộ, hiệu quả, toàn diện công tác đối ngoại và hội nhập quốc tế; giữ vững môi trường hòa bình, ổn định và tạo điều kiện thuận lợi, thu hút các nguồn lực để phục vụ phát triển đất nước, củng cố và nâng cao uy tín, vị thế quốc tế của Việt Nam.</w:t>
      </w:r>
    </w:p>
    <w:p w:rsidR="00F555D1" w:rsidRPr="001D0251" w:rsidRDefault="00F555D1" w:rsidP="00F555D1">
      <w:pPr>
        <w:spacing w:before="120" w:after="0" w:line="360" w:lineRule="exact"/>
        <w:ind w:firstLine="567"/>
        <w:jc w:val="both"/>
        <w:rPr>
          <w:szCs w:val="28"/>
        </w:rPr>
      </w:pPr>
      <w:r w:rsidRPr="001D0251">
        <w:rPr>
          <w:szCs w:val="28"/>
        </w:rPr>
        <w:t>- Chủ động hơn nữa công tác thông tin, tuyên truyền, tạo động lực, truyền cảm hứng, khuyến khích đổi mới sáng tạo; nâng cao hiệu quả công tác dân vận, tạo đồng thuận xã hội.</w:t>
      </w:r>
    </w:p>
    <w:p w:rsidR="00F555D1" w:rsidRPr="001D0251" w:rsidRDefault="00F555D1" w:rsidP="00F555D1">
      <w:pPr>
        <w:spacing w:before="120" w:after="0" w:line="360" w:lineRule="exact"/>
        <w:ind w:firstLine="567"/>
        <w:jc w:val="both"/>
        <w:rPr>
          <w:b/>
          <w:szCs w:val="28"/>
        </w:rPr>
      </w:pPr>
      <w:r w:rsidRPr="001D0251">
        <w:rPr>
          <w:b/>
          <w:szCs w:val="28"/>
        </w:rPr>
        <w:lastRenderedPageBreak/>
        <w:t>2. Kết quả thực hiện công tác bảo vệ người phát hiện, tố giác, người đấu tranh chống tham nhũng, lãng phí, tiêu cực</w:t>
      </w:r>
    </w:p>
    <w:p w:rsidR="00F555D1" w:rsidRPr="001D0251" w:rsidRDefault="00F555D1" w:rsidP="00F555D1">
      <w:pPr>
        <w:spacing w:before="120" w:after="0" w:line="360" w:lineRule="exact"/>
        <w:ind w:firstLine="567"/>
        <w:jc w:val="both"/>
        <w:rPr>
          <w:szCs w:val="28"/>
        </w:rPr>
      </w:pPr>
      <w:r w:rsidRPr="001D0251">
        <w:rPr>
          <w:szCs w:val="28"/>
        </w:rPr>
        <w:t xml:space="preserve">Sau khi Bộ Chính trị ban hành Chỉ thị số 27-CT/TW, ngày 10/01/2019 về tăng cường sự lãnh đạo của Đảng đối với công tác bảo vệ người phát hiện, tố cáo, người đấu tranh chống tham nhũng, lãng phí, tiêu cực, các ban đảng, ban cán sự đảng, đảng đoàn, đảng ủy, các tỉnh ủy, thành ủy và các cơ quan, tổ chức trực thuộc </w:t>
      </w:r>
      <w:r w:rsidRPr="001D0251">
        <w:rPr>
          <w:spacing w:val="4"/>
          <w:szCs w:val="28"/>
        </w:rPr>
        <w:t>trung ương đã lãnh đạo, chỉ đạo phổ biến, quán triệt và tổ chức thực hiện Chỉ thị số 27-CT/TW. Trong 5 năm (2019 - 2024), các cấp ủy, tổ chức đảng, chính quyền đã tổ</w:t>
      </w:r>
      <w:r w:rsidRPr="001D0251">
        <w:rPr>
          <w:szCs w:val="28"/>
        </w:rPr>
        <w:t xml:space="preserve"> chức 165.928 hội nghị, lớp tập huấn cho 8.332.609 lượt cán bộ, đảng viên; phát hành 2.647.081 tài liệu, ấn phẩm có liên quan đến bảo vệ người tố cáo. Trong 5 năm, các ban cán sự đảng, đảng đoàn, đảng ủy, tỉnh ủy, thành ủy trực thuộc trung ương đã ban hành 12.607 văn bản; các bộ, ngành, ủy ban nhân dân các tỉnh, thành phố trực thuộc Trung ương đã ban hành 10.079 văn bản để lãnh đạo, chỉ đạo thực hiện Chỉ thị số 27-CT/TW.</w:t>
      </w:r>
    </w:p>
    <w:p w:rsidR="00F555D1" w:rsidRPr="001D0251" w:rsidRDefault="00F555D1" w:rsidP="00F555D1">
      <w:pPr>
        <w:spacing w:before="120" w:after="0" w:line="360" w:lineRule="exact"/>
        <w:ind w:firstLine="567"/>
        <w:jc w:val="both"/>
        <w:rPr>
          <w:szCs w:val="28"/>
        </w:rPr>
      </w:pPr>
      <w:r w:rsidRPr="001D0251">
        <w:rPr>
          <w:szCs w:val="28"/>
        </w:rPr>
        <w:t>Qua thực hiện, người đứng đầu cấp ủy, tổ chức đảng, chủ tịch ủy ban nhân dân các cấp, thủ trưởng các cơ quan, đơn vị đã quan tâm hơn đến công tác lãnh đạo, chỉ đạo thực hiện bảo vệ người tố cáo thuộc phạm vi, lĩnh vực phụ trách; ban hành các văn bản chỉ đạo công tác tiếp công dân, giải quyết khiếu nại tố cáo, trong đó có  nội dung bảo vệ người tố cáo; tăng cường công tác kiểm tra, giám sát, sự phối hợp giữa các cơ quan chức năng trong công tác bảo vệ người tố cáo; tiếp tục củng cố, kiện toàn, nâng cao chất lượng đội ngũ cán bộ, công chức trực tiếp làm công tác tiếp công dân, tiếp nhận, xử lý, giải quyết khiếu nại, tố cáo.</w:t>
      </w:r>
    </w:p>
    <w:p w:rsidR="00F555D1" w:rsidRPr="001D0251" w:rsidRDefault="00F555D1" w:rsidP="00F555D1">
      <w:pPr>
        <w:spacing w:before="120" w:after="0" w:line="360" w:lineRule="exact"/>
        <w:ind w:firstLine="567"/>
        <w:jc w:val="both"/>
        <w:rPr>
          <w:szCs w:val="28"/>
        </w:rPr>
      </w:pPr>
      <w:r w:rsidRPr="001D0251">
        <w:rPr>
          <w:szCs w:val="28"/>
        </w:rPr>
        <w:t xml:space="preserve">Công tác xây dựng, hoàn thiện quy định của Đảng, pháp luật của Nhà nước về bảo vệ người tố cáo được quan tâm. Thực hiện nhiệm vụ được giao, Ủy ban Kiểm tra Trung ương đã tham mưu Ban Chấp hành Trung ương, Bộ Chính trị, Ban Bí thư nhiều văn bản về công tác kiểm tra, giám sát, thi hành kỷ luật Đảng, trong đó quy định nội dung liên quan đến bảo vệ người phát hiện, tố giác, người đấu tranh chống tham nhũng, lãng phí, tiêu cực theo hướng cụ thể, đồng bộ, xử lý nghiêm khắc, chú trọng các biện pháp phòng ngừa, làm rõ những biểu hiện hành vi trả thù, trù đập người tố cáo dưới mọi hình thức để làm cơ sở nhận diện, phòng ngừa, xử lý các hành vi này. </w:t>
      </w:r>
    </w:p>
    <w:p w:rsidR="00F555D1" w:rsidRPr="001D0251" w:rsidRDefault="00F555D1" w:rsidP="00F555D1">
      <w:pPr>
        <w:spacing w:before="120" w:after="0" w:line="360" w:lineRule="exact"/>
        <w:ind w:firstLine="567"/>
        <w:jc w:val="both"/>
        <w:rPr>
          <w:szCs w:val="28"/>
        </w:rPr>
      </w:pPr>
      <w:r w:rsidRPr="001D0251">
        <w:rPr>
          <w:szCs w:val="28"/>
        </w:rPr>
        <w:t>Đảng đoàn Quốc hội đã lãnh đạo các cơ quan Quốc hội nâng cao trách nhiệm, bảo đảm chất lượng thẩm tra, thảo luận, cho ý kiến, tiếp thu, chỉnh sửa, hoàn thiện, thông qua các dự luật, pháp lệnh, nghị định có vai trò quan trọng trong việc hoàn thiện cơ chế, chính sách, pháp luật về phòng, chống tham nhũng, tiêu cực và bảo vệ người tố cáo. Ban Cán sự đảng Chính phủ, Chính phủ, Thủ tướng Chính phủ đã lãnh đạo, chỉ đạo, tổ chức thực hiện việc nghiên cứu, xây dựng và ban hành hệ thống các văn bản quy phạm pháp luật, tạo hành lang pháp lý.</w:t>
      </w:r>
    </w:p>
    <w:p w:rsidR="00F555D1" w:rsidRPr="001D0251" w:rsidRDefault="00F555D1" w:rsidP="00F555D1">
      <w:pPr>
        <w:spacing w:before="120" w:after="0" w:line="360" w:lineRule="exact"/>
        <w:ind w:firstLine="567"/>
        <w:jc w:val="both"/>
        <w:rPr>
          <w:szCs w:val="28"/>
        </w:rPr>
      </w:pPr>
      <w:r w:rsidRPr="001D0251">
        <w:rPr>
          <w:szCs w:val="28"/>
        </w:rPr>
        <w:lastRenderedPageBreak/>
        <w:t>Các cấp ủy, cơ quan, tổ chức, cơ quan chức năng đẩy mạnh công tác phòng ngừa, ngăn chặn hành vi trả thù, trù dập người tố cáo; tăng cường công tác tuyên truyền, phổ biến pháp luật về tố cáo, về phòng, chống tham nhũng; phát huy vai trò của các đoàn thể chính trị trong bảo vệ quyền lợi hợp pháp của viên chức, người lao động; triển khai các biện pháp bảo vệ tính mạng, sức khỏe, danh dự, nhân phẩm của người tố cáo hành vi tham nhũng, lãng phí; thực hiện nghiêm túc nguyên tắc “bảo đảm an toàn cho người tố cáo” và tôn trọng quyền “được bí mật họ tên, địa chỉ, bút tích và thông tin khác” của người tố cáo; công tác phối hợp giữa các cơ quan chức năng trong công tác bảo vệ người tố cáo được tăng cường.</w:t>
      </w:r>
    </w:p>
    <w:p w:rsidR="00F555D1" w:rsidRPr="001D0251" w:rsidRDefault="00F555D1" w:rsidP="00F555D1">
      <w:pPr>
        <w:spacing w:before="120" w:after="0" w:line="360" w:lineRule="exact"/>
        <w:ind w:firstLine="567"/>
        <w:jc w:val="both"/>
        <w:rPr>
          <w:spacing w:val="-2"/>
          <w:szCs w:val="28"/>
        </w:rPr>
      </w:pPr>
      <w:r w:rsidRPr="001D0251">
        <w:rPr>
          <w:spacing w:val="-2"/>
          <w:szCs w:val="28"/>
        </w:rPr>
        <w:t xml:space="preserve">Các cấp ủy, cơ quan trực thuộc Trung ương đẩy mạnh phát hiện, xử lý nghiêm minh theo quy định của Đảng, pháp luật của Nhà nước đối với hành vi trả thù, trù dập người tố cáo, bao che người bị tố cáo, cũng như với tổ chức, cá nhân có trách nhiệm bảo vệ người tố cáo nhưng không làm tròn trách nhiệm được giao; lồng ghép công tác kiểm tra, thanh tra, giám sát về bảo vệ người tố cáo trong các hoạt động kiểm tra, thanh tra, giám sát công tác tiếp công dân và giải quyết khiếu nại, tố cáo. </w:t>
      </w:r>
    </w:p>
    <w:p w:rsidR="00F555D1" w:rsidRPr="001D0251" w:rsidRDefault="00F555D1" w:rsidP="00F555D1">
      <w:pPr>
        <w:spacing w:before="120" w:after="0" w:line="360" w:lineRule="exact"/>
        <w:ind w:firstLine="567"/>
        <w:jc w:val="both"/>
        <w:rPr>
          <w:b/>
          <w:szCs w:val="28"/>
        </w:rPr>
      </w:pPr>
      <w:r w:rsidRPr="001D0251">
        <w:rPr>
          <w:b/>
          <w:szCs w:val="28"/>
        </w:rPr>
        <w:t>3. Kết quả công tác thi hành pháp luật năm 2024</w:t>
      </w:r>
    </w:p>
    <w:p w:rsidR="00F555D1" w:rsidRPr="001D0251" w:rsidRDefault="00F555D1" w:rsidP="00F555D1">
      <w:pPr>
        <w:spacing w:before="120" w:after="0" w:line="360" w:lineRule="exact"/>
        <w:ind w:firstLine="567"/>
        <w:jc w:val="both"/>
        <w:rPr>
          <w:szCs w:val="28"/>
        </w:rPr>
      </w:pPr>
      <w:r w:rsidRPr="001D0251">
        <w:rPr>
          <w:szCs w:val="28"/>
        </w:rPr>
        <w:t>Theo báo cáo của Bộ Công an, trong năm qua, các bộ, ngành, địa phương tiếp tục thực hiện đồng bộ, quyết liệt các kế hoạch, giải pháp phòng ngừa, đấu tranh, chống tội phạm và vi phạm pháp luật. Công tác phòng ngừa tội phạm từng bước được triển khai theo chiều sâu, kết hợp chặt chẽ giữa phòng ngừa xã hội và phòng ngừa nghiệp vụ. Tình hình trật tự an toàn xã hội được bảo đảm. Tuy nhiên, tình hình tội phạm và vi phạm pháp luật vẫn còn diễn biến phức tạp. Công tác phòng ngừa tội phạm chưa mang lại hiệu quả cao. Tỷ lệ giải quyết tin báo, tố giác tội phạm, kiến nghị khởi tố chưa đạt chỉ tiêu Quốc hội đề ra. Vi phạm trong hoạt động điều tra, xử lý tội phạm, công tác tạm giữ, tạm giam tuy giảm nhưng còn một số vi phạm phải xử lý hình sự. Trật tự an toàn xã hội còn phức tạp, số vụ tai nạn giao thông, cháy, nổ tăng, xảy ra một số vụ làm nhiều người chết, bị thương. Vi phạm hành chính còn diễn ra trên nhiều lĩnh vực.</w:t>
      </w:r>
    </w:p>
    <w:p w:rsidR="00F555D1" w:rsidRPr="001D0251" w:rsidRDefault="00F555D1" w:rsidP="00F555D1">
      <w:pPr>
        <w:spacing w:before="120" w:after="0" w:line="360" w:lineRule="exact"/>
        <w:ind w:firstLine="567"/>
        <w:jc w:val="both"/>
        <w:rPr>
          <w:szCs w:val="28"/>
        </w:rPr>
      </w:pPr>
      <w:r w:rsidRPr="001D0251">
        <w:rPr>
          <w:szCs w:val="28"/>
        </w:rPr>
        <w:t>Nguyên nhân của những tồn tại, hạn chế nêu trên chủ yếu là do điều kiện phát sinh tội phạm và vi phạm pháp luật tiếp tục gia tăng; vai trò, trách nhiệm của cấp ủy, chính quyền, người đứng đầu một số cơ quan, tổ chức, đơn vị chưa đề cao; các nguồn lực cho công tác phòng, chống tội phạm, vi phạm pháp luật vẫn chưa đáp ứng yêu cầu thực tiễn; năng lực, trình độ, ý thức trách nhiệm của một bộ phận cán bộ, công chức, viên chức chưa đáp ứng yêu cầu thực tiễn.</w:t>
      </w:r>
    </w:p>
    <w:p w:rsidR="00F555D1" w:rsidRPr="001D0251" w:rsidRDefault="00F555D1" w:rsidP="00F555D1">
      <w:pPr>
        <w:spacing w:before="120" w:after="0" w:line="360" w:lineRule="exact"/>
        <w:ind w:firstLine="567"/>
        <w:jc w:val="both"/>
        <w:rPr>
          <w:szCs w:val="28"/>
        </w:rPr>
      </w:pPr>
      <w:r w:rsidRPr="001D0251">
        <w:rPr>
          <w:szCs w:val="28"/>
        </w:rPr>
        <w:t xml:space="preserve">Thời gian tới, cần chủ động nâng cao chất lượng công tác nắm, phân tích, dự báo tình hình, tham mưu chiến lược từ sớm, từ xa; triển khai thực hiện có </w:t>
      </w:r>
      <w:r w:rsidRPr="001D0251">
        <w:rPr>
          <w:szCs w:val="28"/>
        </w:rPr>
        <w:lastRenderedPageBreak/>
        <w:t>hiệu quả các kế hoạch, phương án bảo đảm an ninh, an toàn; tập trung phát hiện, ngăn chặn, vô hiệu hóa âm mưu, hoạt động khủng bố, phá hoại, kích động biểu tình gây rối an ninh, trật tự của các thế lực thù địch, phản động, số đối tượng chống đối;  phối hợp với chính quyền các cấp giải quyết có hiệu quả các vụ tranh chấp, khiếu kiện ngay từ sớm, từ cơ sở; tập trung nhận diện và chủ động triển khai các giải pháp kiềm chế tội phạm bền vững; nâng cao chất lượng, hiệu quả công tác tiếp nhận, giải quyết tố giác, tin báo tội phạm, kiến nghị khởi tố và điều tra, xử lý tội phạm, khẩn trương khắc phục dứt điểm các hạn chế, vi phạm đã được chỉ ra; thúc đẩy tiến độ thực hiện nhiệm vụ chuyển đổi số, cung cấp dịch vụ công trực tuyến; đẩy mạnh tuần tra, kiểm soát, xử lý vi phạm về trật tự, an toàn giao thông và phòng, chống cháy, nổ; bảo đảm an ninh, an toàn cơ sở giam, giữ…</w:t>
      </w:r>
    </w:p>
    <w:p w:rsidR="00F555D1" w:rsidRPr="001D0251" w:rsidRDefault="00F555D1" w:rsidP="00F555D1">
      <w:pPr>
        <w:spacing w:before="120" w:after="0" w:line="360" w:lineRule="exact"/>
        <w:ind w:firstLine="567"/>
        <w:jc w:val="both"/>
        <w:rPr>
          <w:b/>
          <w:szCs w:val="28"/>
        </w:rPr>
      </w:pPr>
      <w:r w:rsidRPr="001D0251">
        <w:rPr>
          <w:b/>
          <w:szCs w:val="28"/>
        </w:rPr>
        <w:t>4. Một số kết quả công tác đấu tranh phòng, chống buôn lậu, gian lận thương mại và hàng giả ở nước ta thời gian qua</w:t>
      </w:r>
      <w:r w:rsidRPr="001D0251">
        <w:rPr>
          <w:rStyle w:val="FootnoteReference"/>
          <w:b/>
          <w:szCs w:val="28"/>
        </w:rPr>
        <w:footnoteReference w:id="2"/>
      </w:r>
      <w:r w:rsidRPr="001D0251">
        <w:rPr>
          <w:b/>
          <w:szCs w:val="28"/>
        </w:rPr>
        <w:t xml:space="preserve"> </w:t>
      </w:r>
    </w:p>
    <w:p w:rsidR="00F555D1" w:rsidRPr="001D0251" w:rsidRDefault="00F555D1" w:rsidP="00F555D1">
      <w:pPr>
        <w:spacing w:before="120" w:after="0" w:line="360" w:lineRule="exact"/>
        <w:ind w:firstLine="567"/>
        <w:jc w:val="both"/>
        <w:rPr>
          <w:szCs w:val="28"/>
        </w:rPr>
      </w:pPr>
      <w:r w:rsidRPr="001D0251">
        <w:rPr>
          <w:szCs w:val="28"/>
          <w:lang w:val="de-DE"/>
        </w:rPr>
        <w:t xml:space="preserve">Năm 2024, </w:t>
      </w:r>
      <w:r w:rsidRPr="001D0251">
        <w:rPr>
          <w:szCs w:val="28"/>
        </w:rPr>
        <w:t>Ban Chỉ đạo 389 các bộ, ngành, tỉnh, thành phố đã làm tốt công tác lãnh đạo, chỉ đạo và quán triệt, yêu cầu các đơn vị, lực lượng thực hiện nghiêm các văn bản chỉ đạo của Chính phủ, Thủ tướng Chính phủ, Ban Chỉ đạo 389 Quốc gia về công tác chống buôn lậu, gian lận thương mại và hàng giả. Đồng thời chủ động xây dựng kế hoạch chống buôn lậu, gian lận thương mại và hàng giả, chỉ đạo các lực lượng chức năng xây dựng kế hoạch phù hợp với tình hình địa bàn, đơn vị, địa phương mình để triển khai thực hiện đạt hiệu quả.</w:t>
      </w:r>
    </w:p>
    <w:p w:rsidR="00F555D1" w:rsidRPr="001D0251" w:rsidRDefault="00F555D1" w:rsidP="00F555D1">
      <w:pPr>
        <w:spacing w:before="120" w:after="0" w:line="360" w:lineRule="exact"/>
        <w:ind w:firstLine="567"/>
        <w:jc w:val="both"/>
        <w:rPr>
          <w:szCs w:val="28"/>
        </w:rPr>
      </w:pPr>
      <w:r w:rsidRPr="001D0251">
        <w:rPr>
          <w:szCs w:val="28"/>
        </w:rPr>
        <w:t>Các lực lượng chức năng tích cực, chủ động tiến hành biện pháp nghiệp vụ, kịp thời phát hiện, đấu tranh, ngăn chặn, bắt giữ và xử lý nghiêm các hành vi vi phạm pháp luật liên quan đến buôn lậu, gian lận thương mại và hàng giả, vận chuyển trái phép hàng hóa qua biên giới đúng theo thẩm quyền, góp phần ổn định thị trường, bảo vệ quyền, lợi ích của doanh nghiệp, người tiêu dùng, bảo đảm an ninh trật tự, phục vụ phát triển kinh tế - xã hội đất nước.</w:t>
      </w:r>
    </w:p>
    <w:p w:rsidR="00F555D1" w:rsidRPr="001D0251" w:rsidRDefault="00F555D1" w:rsidP="00F555D1">
      <w:pPr>
        <w:spacing w:before="120" w:after="0" w:line="360" w:lineRule="exact"/>
        <w:ind w:firstLine="567"/>
        <w:jc w:val="both"/>
        <w:rPr>
          <w:szCs w:val="28"/>
        </w:rPr>
      </w:pPr>
      <w:r w:rsidRPr="001D0251">
        <w:rPr>
          <w:szCs w:val="28"/>
        </w:rPr>
        <w:t>Công tác trao đổi, chia sẻ thông tin, phối hợp tổ chức đấu tranh chống buôn lậu, gian lận thương mại và hàng giả giữa Ban Chỉ đạo 389 các bộ, ngành, tỉnh, thành phố đạt hiệu quả cao. Nhiều vụ việc vi phạm lớn đã được phối hợp phát hiện, bắt giữ, xử lý theo quy định của pháp luật; không phát sinh điểm nóng về buôn lậu, gian lận thương mại và hàng giả. Công tác thông tin, tuyên truyền chống buôn lậu, gian lận thương mại và hàng giả trên các phương tiện thông tin được lan tỏa rộng rãi đến nhiều lĩnh vực, địa bàn, đối tượng.</w:t>
      </w:r>
    </w:p>
    <w:p w:rsidR="00F555D1" w:rsidRPr="001D0251" w:rsidRDefault="00F555D1" w:rsidP="00F555D1">
      <w:pPr>
        <w:spacing w:before="120" w:after="0" w:line="360" w:lineRule="exact"/>
        <w:ind w:firstLine="567"/>
        <w:jc w:val="both"/>
        <w:rPr>
          <w:szCs w:val="28"/>
        </w:rPr>
      </w:pPr>
      <w:r w:rsidRPr="001D0251">
        <w:rPr>
          <w:szCs w:val="28"/>
        </w:rPr>
        <w:t xml:space="preserve">Tuy nhiên, tình trạng thẩm lậu các mặt hàng, như: pháo nổ, thuốc lá điếu, đường cát, hàng dân dụng, điện tử, điện lạnh, thuốc tân dược, mỹ phẩm và thực phẩm chức năng… còn xuất hiện trên tuyến biên giới tiếp giáp với Campuchia </w:t>
      </w:r>
      <w:r w:rsidRPr="001D0251">
        <w:rPr>
          <w:szCs w:val="28"/>
        </w:rPr>
        <w:lastRenderedPageBreak/>
        <w:t>thuộc địa phận các tỉnh: Tây Ninh, Bình Phước, Long An, Đồng Tháp, An Giang, Kiên Giang. Ngoài ra, tại các cảng biển lớn, hàng hóa vi phạm với số lượng lớn đa dạng về chủng loại mặt hàng, cũng như loại hình vi phạm (quá cảnh, chuyển khẩu, tạm nhập tái xuất, nhập kinh doanh…). Trên tuyến cảng hàng không tập trung vào các sân bay quốc tế, như: Tân Sơn Nhất (Thành phố Hồ Chí Minh) mặt hàng vi phạm gọn nhẹ dễ vận chuyển, có giá trị cao, như: thuốc tân dược, mỹ phẩm, thực phẩm chức năng, điện tử, điện lạnh và hàng tiêu dùng khác...</w:t>
      </w:r>
    </w:p>
    <w:p w:rsidR="00F555D1" w:rsidRPr="001D0251" w:rsidRDefault="00F555D1" w:rsidP="00F555D1">
      <w:pPr>
        <w:pStyle w:val="NormalWeb"/>
        <w:spacing w:before="120" w:beforeAutospacing="0" w:after="0" w:afterAutospacing="0" w:line="360" w:lineRule="exact"/>
        <w:ind w:firstLine="567"/>
        <w:jc w:val="both"/>
        <w:rPr>
          <w:sz w:val="28"/>
          <w:szCs w:val="28"/>
        </w:rPr>
      </w:pPr>
      <w:r w:rsidRPr="001D0251">
        <w:rPr>
          <w:sz w:val="28"/>
          <w:szCs w:val="28"/>
        </w:rPr>
        <w:t>Đối với hàng hóa xuất khẩu, các phương thức, thủ đoạn gian lận, giả mạo xuất xứ, chỉ dẫn địa lý như: doanh nghiệp (bao gồm cả doanh nghiệp trong nước và doanh nghiệp FDI) nhập khẩu hàng hóa, nguyên vật liệu để sản xuất, gia công hàng hóa xuất khẩu nhưng không trải qua công đoạn gia công, sản xuất hoặc chỉ trải qua công đoạn gia công, sản xuất hoặc lắp ráp đơn giản không đáp ứng tiêu chí xuất xứ theo quy định nhưng khai xuất xứ Việt Nam (ghi xuất xứ Việt Nam trên nhãn hàng hóa) hoặc hợp thức hóa bộ hồ sơ để xin cấp giấy chứng nhận xuất xứ của Việt Nam (C/O) để xuất khẩu.</w:t>
      </w:r>
    </w:p>
    <w:p w:rsidR="00F555D1" w:rsidRPr="001D0251" w:rsidRDefault="00F555D1" w:rsidP="00F555D1">
      <w:pPr>
        <w:pStyle w:val="NormalWeb"/>
        <w:spacing w:before="120" w:beforeAutospacing="0" w:after="0" w:afterAutospacing="0" w:line="360" w:lineRule="exact"/>
        <w:ind w:firstLine="567"/>
        <w:jc w:val="both"/>
        <w:rPr>
          <w:sz w:val="28"/>
          <w:szCs w:val="28"/>
        </w:rPr>
      </w:pPr>
      <w:r w:rsidRPr="001D0251">
        <w:rPr>
          <w:sz w:val="28"/>
          <w:szCs w:val="28"/>
        </w:rPr>
        <w:t xml:space="preserve">Hàng hóa nhập khẩu có xuất xứ từ nước ngoài, khi đưa về nhà kho, xưởng sản xuất hoặc trong quá trình sang mạn, thay đổi phương tiện vận tải đã được thay đổi nhãn thành hàng hóa có xuất xứ Việt Nam hoặc hợp thức hóa hồ sơ để xin cấp giấy chứng nhận xuất xứ để xuất khẩu nhằm lẩn tránh biện pháp phòng vệ thương mại của các nước nhập khẩu. </w:t>
      </w:r>
    </w:p>
    <w:p w:rsidR="00F555D1" w:rsidRPr="001D0251" w:rsidRDefault="00F555D1" w:rsidP="00F555D1">
      <w:pPr>
        <w:pStyle w:val="NormalWeb"/>
        <w:spacing w:before="120" w:beforeAutospacing="0" w:after="0" w:afterAutospacing="0" w:line="360" w:lineRule="exact"/>
        <w:ind w:firstLine="567"/>
        <w:jc w:val="both"/>
        <w:rPr>
          <w:sz w:val="28"/>
          <w:szCs w:val="28"/>
        </w:rPr>
      </w:pPr>
      <w:r w:rsidRPr="001D0251">
        <w:rPr>
          <w:sz w:val="28"/>
          <w:szCs w:val="28"/>
        </w:rPr>
        <w:t xml:space="preserve">Không chỉ phức tạp trên các tuyến biên giới, ở trong thị trường nội địa nổi lên tình trạng lợi dụng hình </w:t>
      </w:r>
      <w:r w:rsidRPr="001D0251">
        <w:rPr>
          <w:bCs/>
          <w:sz w:val="28"/>
          <w:szCs w:val="28"/>
        </w:rPr>
        <w:t>thức kinh doanh trên các sàn thương mại điện tử (Shopee, Lazada, Sendo...), các mạng xã hội (Facebook, TikTok, Zalo, Youtube...) và lợi dụng hoạt động bưu chính, chuyển phát nhanh, các đối tượng đã sử dụng nhiều thủ đoạn tinh vi để thực hiện các hành vi buôn lậu, kinh doanh hàng giả, hàng kém chất lượng, hàng không rõ nguồn gốc xuất xứ</w:t>
      </w:r>
      <w:r w:rsidRPr="001D0251">
        <w:rPr>
          <w:sz w:val="28"/>
          <w:szCs w:val="28"/>
        </w:rPr>
        <w:t>.</w:t>
      </w:r>
    </w:p>
    <w:p w:rsidR="00F555D1" w:rsidRPr="001D0251" w:rsidRDefault="00F555D1" w:rsidP="00F555D1">
      <w:pPr>
        <w:pStyle w:val="NormalWeb"/>
        <w:shd w:val="clear" w:color="auto" w:fill="FFFFFF"/>
        <w:spacing w:before="120" w:beforeAutospacing="0" w:after="0" w:afterAutospacing="0" w:line="360" w:lineRule="exact"/>
        <w:ind w:firstLine="567"/>
        <w:jc w:val="both"/>
        <w:rPr>
          <w:sz w:val="28"/>
          <w:szCs w:val="28"/>
        </w:rPr>
      </w:pPr>
      <w:r w:rsidRPr="001D0251">
        <w:rPr>
          <w:sz w:val="28"/>
          <w:szCs w:val="28"/>
        </w:rPr>
        <w:t>Nhằm nâng cao hiệu quả công tác phòng, chống buôn lậu, gian lận thương mại và hàng giả trong thời gian tới, Ban Chỉ đạo 389 quốc gia yêu cầu các lực lượng thành viên, bộ, ngành, địa phương cần tập trung thực hiện tốt một số nội dung sau:</w:t>
      </w:r>
    </w:p>
    <w:p w:rsidR="00F555D1" w:rsidRPr="001D0251" w:rsidRDefault="00F555D1" w:rsidP="00F555D1">
      <w:pPr>
        <w:spacing w:before="120" w:after="0" w:line="360" w:lineRule="exact"/>
        <w:ind w:firstLine="567"/>
        <w:jc w:val="both"/>
        <w:rPr>
          <w:spacing w:val="4"/>
          <w:szCs w:val="28"/>
          <w:lang w:val="de-DE"/>
        </w:rPr>
      </w:pPr>
      <w:r w:rsidRPr="001D0251">
        <w:rPr>
          <w:i/>
          <w:spacing w:val="4"/>
          <w:szCs w:val="28"/>
          <w:lang w:val="de-DE"/>
        </w:rPr>
        <w:t>Thứ nhất,</w:t>
      </w:r>
      <w:r w:rsidRPr="001D0251">
        <w:rPr>
          <w:spacing w:val="4"/>
          <w:szCs w:val="28"/>
          <w:lang w:val="de-DE"/>
        </w:rPr>
        <w:t xml:space="preserve"> tiếp tục tham mưu triển khai thực hiện nghiêm túc, hiệu quả nghị quyết, chỉ thị, chương trình, kế hoạch và văn bản chỉ đạo của Chính phủ, Thủ tướng Chính phủ, Ban Chỉ đạo 389 quốc gia của</w:t>
      </w:r>
      <w:r w:rsidRPr="001D0251">
        <w:rPr>
          <w:spacing w:val="4"/>
          <w:szCs w:val="28"/>
        </w:rPr>
        <w:t xml:space="preserve"> tỉnh ủy, thành ủy, Ủy ban nhân dân tỉnh, thành phố </w:t>
      </w:r>
      <w:r w:rsidRPr="001D0251">
        <w:rPr>
          <w:spacing w:val="4"/>
          <w:szCs w:val="28"/>
          <w:lang w:val="de-DE"/>
        </w:rPr>
        <w:t xml:space="preserve">về </w:t>
      </w:r>
      <w:r w:rsidRPr="001D0251">
        <w:rPr>
          <w:spacing w:val="4"/>
          <w:szCs w:val="28"/>
        </w:rPr>
        <w:t>công tác chống buôn lậu, gian lận thương mại và hàng giả.</w:t>
      </w:r>
    </w:p>
    <w:p w:rsidR="00F555D1" w:rsidRPr="001D0251" w:rsidRDefault="00F555D1" w:rsidP="00F555D1">
      <w:pPr>
        <w:spacing w:before="120" w:after="0" w:line="360" w:lineRule="exact"/>
        <w:ind w:firstLine="567"/>
        <w:jc w:val="both"/>
        <w:rPr>
          <w:szCs w:val="28"/>
          <w:lang w:val="de-DE"/>
        </w:rPr>
      </w:pPr>
      <w:r w:rsidRPr="001D0251">
        <w:rPr>
          <w:i/>
          <w:szCs w:val="28"/>
          <w:lang w:val="de-DE"/>
        </w:rPr>
        <w:t>Thứ hai</w:t>
      </w:r>
      <w:r w:rsidRPr="001D0251">
        <w:rPr>
          <w:szCs w:val="28"/>
          <w:lang w:val="de-DE"/>
        </w:rPr>
        <w:t xml:space="preserve">, thực hiện cơ chế phối hợp trong công tác chống buôn lậu, gian lận thương mại và hàng giả hiệu quả và thực chất; tăng cường trao đổi thông tin về </w:t>
      </w:r>
      <w:r w:rsidRPr="001D0251">
        <w:rPr>
          <w:szCs w:val="28"/>
          <w:lang w:val="de-DE"/>
        </w:rPr>
        <w:lastRenderedPageBreak/>
        <w:t>tình hình, kết quả, phương thức, thủ đoạn; chủ động phối hợp các lực lượng, địa phương có giải pháp đồng bộ, hiệu quả trong phòng, chống buôn lậu, gian lận thương mại và hàng giả.</w:t>
      </w:r>
    </w:p>
    <w:p w:rsidR="00F555D1" w:rsidRPr="001D0251" w:rsidRDefault="00F555D1" w:rsidP="00F555D1">
      <w:pPr>
        <w:spacing w:before="120" w:after="0" w:line="360" w:lineRule="exact"/>
        <w:ind w:firstLine="567"/>
        <w:jc w:val="both"/>
        <w:rPr>
          <w:spacing w:val="2"/>
          <w:szCs w:val="28"/>
          <w:lang w:val="vi-VN"/>
        </w:rPr>
      </w:pPr>
      <w:r w:rsidRPr="001D0251">
        <w:rPr>
          <w:i/>
          <w:spacing w:val="2"/>
          <w:szCs w:val="28"/>
          <w:lang w:val="de-DE"/>
        </w:rPr>
        <w:t>Thứ ba,</w:t>
      </w:r>
      <w:r w:rsidRPr="001D0251">
        <w:rPr>
          <w:spacing w:val="2"/>
          <w:szCs w:val="28"/>
          <w:lang w:val="de-DE"/>
        </w:rPr>
        <w:t xml:space="preserve"> t</w:t>
      </w:r>
      <w:r w:rsidRPr="001D0251">
        <w:rPr>
          <w:spacing w:val="2"/>
          <w:szCs w:val="28"/>
          <w:lang w:val="vi-VN"/>
        </w:rPr>
        <w:t>iếp nhận</w:t>
      </w:r>
      <w:r w:rsidRPr="001D0251">
        <w:rPr>
          <w:spacing w:val="2"/>
          <w:szCs w:val="28"/>
        </w:rPr>
        <w:t xml:space="preserve"> và xử lý hiệu quả</w:t>
      </w:r>
      <w:r w:rsidRPr="001D0251">
        <w:rPr>
          <w:spacing w:val="2"/>
          <w:szCs w:val="28"/>
          <w:lang w:val="vi-VN"/>
        </w:rPr>
        <w:t xml:space="preserve"> tin báo</w:t>
      </w:r>
      <w:r w:rsidRPr="001D0251">
        <w:rPr>
          <w:spacing w:val="2"/>
          <w:szCs w:val="28"/>
        </w:rPr>
        <w:t xml:space="preserve"> </w:t>
      </w:r>
      <w:r w:rsidRPr="001D0251">
        <w:rPr>
          <w:spacing w:val="2"/>
          <w:szCs w:val="28"/>
          <w:lang w:val="vi-VN"/>
        </w:rPr>
        <w:t>về buôn lậu, gian lận thương mại và hàng giả</w:t>
      </w:r>
      <w:r w:rsidRPr="001D0251">
        <w:rPr>
          <w:spacing w:val="2"/>
          <w:szCs w:val="28"/>
        </w:rPr>
        <w:t xml:space="preserve"> qua đường dây nóng; chủ động phối hợp các cơ quan, đơn vị liên quan tổ chức xác minh, </w:t>
      </w:r>
      <w:r w:rsidRPr="001D0251">
        <w:rPr>
          <w:spacing w:val="2"/>
          <w:szCs w:val="28"/>
          <w:lang w:val="vi-VN"/>
        </w:rPr>
        <w:t>xử lý</w:t>
      </w:r>
      <w:r w:rsidRPr="001D0251">
        <w:rPr>
          <w:spacing w:val="2"/>
          <w:szCs w:val="28"/>
        </w:rPr>
        <w:t xml:space="preserve"> bảo đảm bí mật, kịp thời, hiệu quả các thông tin đường dây nóng.</w:t>
      </w:r>
    </w:p>
    <w:p w:rsidR="00F555D1" w:rsidRPr="001D0251" w:rsidRDefault="00F555D1" w:rsidP="00F555D1">
      <w:pPr>
        <w:spacing w:before="120" w:after="0" w:line="360" w:lineRule="exact"/>
        <w:ind w:firstLine="567"/>
        <w:jc w:val="both"/>
        <w:rPr>
          <w:szCs w:val="28"/>
        </w:rPr>
      </w:pPr>
      <w:r w:rsidRPr="001D0251">
        <w:rPr>
          <w:i/>
          <w:szCs w:val="28"/>
        </w:rPr>
        <w:t>Thứ tư,</w:t>
      </w:r>
      <w:r w:rsidRPr="001D0251">
        <w:rPr>
          <w:szCs w:val="28"/>
        </w:rPr>
        <w:t xml:space="preserve"> tiếp tục rà soát xử lý khó khăn vướng mắc về thể chế văn bản quy phạm pháp luật, quan hệ phối hợp và khó khăn vướng mắc khác, tham mưu trình cấp, cơ quan thẩm quyền sửa đổi, bổ sung, thay thế.</w:t>
      </w:r>
    </w:p>
    <w:p w:rsidR="00F555D1" w:rsidRPr="001D0251" w:rsidRDefault="00F555D1" w:rsidP="00F555D1">
      <w:pPr>
        <w:spacing w:before="120" w:after="0" w:line="360" w:lineRule="exact"/>
        <w:ind w:firstLine="567"/>
        <w:jc w:val="both"/>
        <w:rPr>
          <w:szCs w:val="28"/>
        </w:rPr>
      </w:pPr>
      <w:r w:rsidRPr="001D0251">
        <w:rPr>
          <w:bCs/>
          <w:i/>
          <w:szCs w:val="28"/>
        </w:rPr>
        <w:t>Thứ năm</w:t>
      </w:r>
      <w:r w:rsidRPr="001D0251">
        <w:rPr>
          <w:bCs/>
          <w:szCs w:val="28"/>
        </w:rPr>
        <w:t>, c</w:t>
      </w:r>
      <w:r w:rsidRPr="001D0251">
        <w:rPr>
          <w:szCs w:val="28"/>
        </w:rPr>
        <w:t xml:space="preserve">hấp hành nghiêm chế độ báo cáo; tăng cường công tác thông tin, tuyên truyền về tình hình, kết quả </w:t>
      </w:r>
      <w:r w:rsidRPr="001D0251">
        <w:rPr>
          <w:szCs w:val="28"/>
          <w:lang w:val="vi-VN"/>
        </w:rPr>
        <w:t>công tác chống buôn lậu, gian lận thương mại và hàng giả</w:t>
      </w:r>
      <w:r w:rsidRPr="001D0251">
        <w:rPr>
          <w:szCs w:val="28"/>
        </w:rPr>
        <w:t xml:space="preserve"> trên địa bàn; tham mưu phát động phong trào quần chúng nhân dân, phát hiện, cung cấp thông tin liên quan đến hoạt động buôn lậu, gian lận thương mại và hàng giả.</w:t>
      </w:r>
    </w:p>
    <w:p w:rsidR="00F555D1" w:rsidRPr="001D0251" w:rsidRDefault="00F555D1" w:rsidP="00F555D1">
      <w:pPr>
        <w:spacing w:before="120" w:after="0" w:line="360" w:lineRule="exact"/>
        <w:ind w:firstLine="567"/>
        <w:jc w:val="both"/>
        <w:rPr>
          <w:bCs/>
          <w:szCs w:val="28"/>
        </w:rPr>
      </w:pPr>
      <w:r w:rsidRPr="001D0251">
        <w:rPr>
          <w:bCs/>
          <w:i/>
          <w:szCs w:val="28"/>
        </w:rPr>
        <w:t>Thứ sáu,</w:t>
      </w:r>
      <w:r w:rsidRPr="001D0251">
        <w:rPr>
          <w:bCs/>
          <w:szCs w:val="28"/>
        </w:rPr>
        <w:t xml:space="preserve"> tham mưu làm tốt công tác giáo dục chính trị tư tưởng, tăng cường kỷ cương, kỷ luật công vụ, phòng, chống tiêu cực, tham nhũng của cán bộ, công chức các lực lượng chức năng; khen thưởng, động viên kịp thời đối với tập thể, cá nhân có thành tích; xử lý nghiêm những tập thể, cá nhân có biểu hiện bao che, tiếp tay, bảo kê cho hoạt động buôn lậu, gian lận thương mại và hàng giả.</w:t>
      </w:r>
    </w:p>
    <w:p w:rsidR="00F555D1" w:rsidRPr="001D0251" w:rsidRDefault="00F555D1" w:rsidP="00F555D1">
      <w:pPr>
        <w:spacing w:before="120" w:after="0" w:line="360" w:lineRule="exact"/>
        <w:ind w:firstLine="567"/>
        <w:jc w:val="both"/>
        <w:rPr>
          <w:bCs/>
          <w:szCs w:val="28"/>
        </w:rPr>
      </w:pPr>
      <w:r w:rsidRPr="001D0251">
        <w:rPr>
          <w:b/>
          <w:szCs w:val="28"/>
        </w:rPr>
        <w:t>5. Một số nội dung đại biểu Quốc hội và cử tri quan tâm</w:t>
      </w:r>
    </w:p>
    <w:p w:rsidR="00F555D1" w:rsidRPr="001D0251" w:rsidRDefault="00F555D1" w:rsidP="00F555D1">
      <w:pPr>
        <w:spacing w:before="120" w:after="0" w:line="360" w:lineRule="exact"/>
        <w:ind w:firstLine="567"/>
        <w:jc w:val="both"/>
        <w:rPr>
          <w:bCs/>
          <w:szCs w:val="28"/>
        </w:rPr>
      </w:pPr>
      <w:r w:rsidRPr="001D0251">
        <w:rPr>
          <w:szCs w:val="28"/>
        </w:rPr>
        <w:t xml:space="preserve">Tại Báo cáo số 779/BC-CP tại Kỳ họp thứ 8, Quốc hội Khóa XV, Chính phủ đã giải trình một số nội dung đại biểu Quốc hội và cử tri quan tâm như sau: </w:t>
      </w:r>
    </w:p>
    <w:p w:rsidR="00F555D1" w:rsidRPr="001D0251" w:rsidRDefault="00F555D1" w:rsidP="00F555D1">
      <w:pPr>
        <w:spacing w:before="120" w:after="0" w:line="360" w:lineRule="exact"/>
        <w:ind w:firstLine="567"/>
        <w:jc w:val="both"/>
        <w:rPr>
          <w:bCs/>
          <w:szCs w:val="28"/>
        </w:rPr>
      </w:pPr>
      <w:r w:rsidRPr="001D0251">
        <w:rPr>
          <w:szCs w:val="28"/>
        </w:rPr>
        <w:t xml:space="preserve">Về phòng, chống thiên tai, ứng phó với biến đổi khí hậu: Vừa qua, nước ta bị ảnh hưởng nghiêm trọng bởi thiên tai, bão lũ, sạt lở đất, đặc biệt là cơn bão số 3 và mưa lũ sau bão đã để lại hậu quả hết sức nặng nề đối với 26 địa phương khu vực Bắc Bộ. Toàn Đảng, toàn dân, toàn quân ta vào cuộc quyết liệt và triển khai thực hiện đồng bộ, kịp thời, hiệu quả trong phòng, chống, khắc phục hậu quả thiên tai. </w:t>
      </w:r>
    </w:p>
    <w:p w:rsidR="00F555D1" w:rsidRPr="001D0251" w:rsidRDefault="00F555D1" w:rsidP="00F555D1">
      <w:pPr>
        <w:spacing w:before="120" w:after="0" w:line="360" w:lineRule="exact"/>
        <w:ind w:firstLine="567"/>
        <w:jc w:val="both"/>
        <w:rPr>
          <w:bCs/>
          <w:szCs w:val="28"/>
        </w:rPr>
      </w:pPr>
      <w:r w:rsidRPr="001D0251">
        <w:rPr>
          <w:szCs w:val="28"/>
        </w:rPr>
        <w:t xml:space="preserve">Thời gian tới, dự báo thiên tai, biến đổi khí hậu tiếp tục diễn biến phức tạp, khó lường. Chính phủ, Thủ tướng Chính phủ yêu cầu các cấp, các ngành, các địa phương theo dõi sát tình hình, chủ động triển khai quyết liệt, kịp thời, hiệu quả công tác ứng phó thiên tai, tập trung phòng, chống sạt lở, sụt lún, khô hạn, xâm nhập mặn; tiếp tục nỗ lực khắc phục hậu quả thiên tai. Huy động tối đa các nguồn lực để triển khai ngay các chính sách hỗ trợ, trong đó bảo đảm không để người dân thiếu ăn, thiếu mặc, thiếu chỗ ở; kịp thời hỗ trợ giống cây trồng, vật </w:t>
      </w:r>
      <w:r w:rsidRPr="001D0251">
        <w:rPr>
          <w:szCs w:val="28"/>
        </w:rPr>
        <w:lastRenderedPageBreak/>
        <w:t>nuôi, khôi phục và phát triển sản xuất nông, lâm, thủy sản; tạo điều kiện cho các doanh nghiệp, hộ kinh doanh nhanh chóng phục hồi hoạt động, tạo công ăn việc làm, sinh kế ổn định cho Nhân dân.</w:t>
      </w:r>
    </w:p>
    <w:p w:rsidR="00F555D1" w:rsidRPr="001D0251" w:rsidRDefault="00F555D1" w:rsidP="00F555D1">
      <w:pPr>
        <w:spacing w:before="120" w:after="0" w:line="360" w:lineRule="exact"/>
        <w:ind w:firstLine="567"/>
        <w:jc w:val="both"/>
        <w:rPr>
          <w:bCs/>
          <w:szCs w:val="28"/>
        </w:rPr>
      </w:pPr>
      <w:r w:rsidRPr="001D0251">
        <w:rPr>
          <w:szCs w:val="28"/>
        </w:rPr>
        <w:t xml:space="preserve">Về bảo đảm mức sinh thay thế: Đảng, Nhà nước, Chính phủ luôn quan tâm đến dân số và phát triển bền vững đất nước. Tổng tỷ suất sinh ở nước ta có xu hướng giảm, năm 2023 ở mức 1,96 con/phụ nữ, dưới mức sinh thay thế (2,1 con/phụ nữ). Với xu hướng giảm như hiện nay, thời kỳ cơ cấu dân số vàng của Việt Nam dự báo sẽ kết thúc vào năm 2039. </w:t>
      </w:r>
    </w:p>
    <w:p w:rsidR="00F555D1" w:rsidRPr="001D0251" w:rsidRDefault="00F555D1" w:rsidP="00F555D1">
      <w:pPr>
        <w:spacing w:before="120" w:after="0" w:line="360" w:lineRule="exact"/>
        <w:ind w:firstLine="567"/>
        <w:jc w:val="both"/>
        <w:rPr>
          <w:bCs/>
          <w:szCs w:val="28"/>
        </w:rPr>
      </w:pPr>
      <w:r w:rsidRPr="001D0251">
        <w:rPr>
          <w:szCs w:val="28"/>
        </w:rPr>
        <w:t xml:space="preserve">Thời gian tới, Chính phủ, Thủ tướng Chính phủ tập trung chỉ đạo: Khẩn trương sơ kết 05 năm thực hiện Nghị quyết số 21-NQ/TW về công tác dân số; rà soát, đề xuất sửa đổi, bổ sung các quy định của Đảng, pháp luật của Nhà nước về chính sách dân số. Chuyển hướng mạnh mẽ công tác dân số từ tập trung vào giảm sinh sang duy trì mức sinh thay thế. Nghiên cứu, đề xuất xây dựng Luật Dân số phù hợp với tình hình mới. Khẩn trương xây dựng Đề án sửa đổi, bổ sung Chương trình điều chỉnh mức sinh phù hợp các vùng, đối tượng. </w:t>
      </w:r>
    </w:p>
    <w:p w:rsidR="00F555D1" w:rsidRPr="001D0251" w:rsidRDefault="00F555D1" w:rsidP="00F555D1">
      <w:pPr>
        <w:spacing w:before="120" w:after="0" w:line="360" w:lineRule="exact"/>
        <w:ind w:firstLine="567"/>
        <w:jc w:val="both"/>
        <w:rPr>
          <w:bCs/>
          <w:szCs w:val="28"/>
        </w:rPr>
      </w:pPr>
      <w:r w:rsidRPr="001D0251">
        <w:rPr>
          <w:szCs w:val="28"/>
        </w:rPr>
        <w:t xml:space="preserve">Về quy hoạch đất đai: Quy hoạch sử dụng đất quốc gia thời kỳ 2021 - 2030, tầm nhìn đến năm 2050 và Kế hoạch sử dụng đất quốc gia 5 năm 2021 - 2025 đã được Quốc hội khóa XV thông qua; Thủ tướng Chính phủ đã có quyết định phân bổ cho các tỉnh và cho mục tiêu quốc phòng, an ninh. </w:t>
      </w:r>
    </w:p>
    <w:p w:rsidR="00F555D1" w:rsidRPr="001D0251" w:rsidRDefault="00F555D1" w:rsidP="00F555D1">
      <w:pPr>
        <w:spacing w:before="120" w:after="0" w:line="360" w:lineRule="exact"/>
        <w:ind w:firstLine="567"/>
        <w:jc w:val="both"/>
        <w:rPr>
          <w:bCs/>
          <w:szCs w:val="28"/>
        </w:rPr>
      </w:pPr>
      <w:r w:rsidRPr="001D0251">
        <w:rPr>
          <w:szCs w:val="28"/>
        </w:rPr>
        <w:t>Tuy nhiên, qua triển khai thực hiện, một số địa phương có nhu cầu sử dụng một số loại đất tăng cao để triển khai các dự án trọng điểm quốc gia, các dự án có khả năng thu hút đầu tư, góp phần thực hiện các mục tiêu phát triển kinh tế - xã hội.</w:t>
      </w:r>
    </w:p>
    <w:p w:rsidR="00F555D1" w:rsidRPr="001D0251" w:rsidRDefault="00F555D1" w:rsidP="00F555D1">
      <w:pPr>
        <w:spacing w:before="120" w:after="0" w:line="360" w:lineRule="exact"/>
        <w:ind w:firstLine="567"/>
        <w:jc w:val="both"/>
        <w:rPr>
          <w:bCs/>
          <w:szCs w:val="28"/>
        </w:rPr>
      </w:pPr>
      <w:r w:rsidRPr="001D0251">
        <w:rPr>
          <w:szCs w:val="28"/>
        </w:rPr>
        <w:t>Để xử lý các vướng mắc này, Chính phủ đã trình Quốc hội chủ trương điều chỉnh Quy hoạch sử dụng đất quốc gia thời kỳ 2021 - 2030, trong đó điều chỉnh 08 chỉ tiêu sử dụng đất gồm nhóm đất nông nghiệp và nhóm đất phi nông nghiệp. Chính phủ sẽ chỉ đạo Bộ Tài nguyên và Môi trường và các địa phương rà soát kỹ lưỡng, cân đối các chỉ tiêu sử dụng đất; trong đó, ưu tiên giữ ổn định quỹ đất trồng lúa để bảo đảm an ninh lương thực quốc gia, quản lý chặt chẽ đất rừng, duy trì độ che phủ rừng để góp phần bảo vệ môi trường sinh thái, ứng phó với biến đổi khí hậu và thực hiện mục tiêu phát triển bền vững. Sau khi được Quốc hội thông qua chủ trương, Chính phủ sẽ chỉ đạo các bộ, ngành, địa phương hoàn thiện ngay hồ sơ trình Quốc hội điều chỉnh Quy hoạch sử dụng đất.</w:t>
      </w:r>
    </w:p>
    <w:p w:rsidR="00F555D1" w:rsidRPr="001D0251" w:rsidRDefault="00F555D1" w:rsidP="00F555D1">
      <w:pPr>
        <w:spacing w:before="120" w:after="0" w:line="360" w:lineRule="exact"/>
        <w:ind w:firstLine="567"/>
        <w:jc w:val="both"/>
        <w:rPr>
          <w:bCs/>
          <w:szCs w:val="28"/>
        </w:rPr>
      </w:pPr>
      <w:r w:rsidRPr="001D0251">
        <w:rPr>
          <w:szCs w:val="28"/>
        </w:rPr>
        <w:t>Về rà soát, hoàn thiện pháp luật, cải cách thủ tục hành chính, cải thiện môi trường đầu tư, kinh doanh: Hệ thống pháp luật không ngừng được hoàn thiện, cơ bản đầy đủ, đồng bộ, thống nhất. Công tác cải cách thủ tục hành chính, cải thiện môi trường đầu tư kinh doanh phục vụ người dân, doanh nghiệp được đẩy mạnh và đạt nhiều kết quả tích cực.</w:t>
      </w:r>
    </w:p>
    <w:p w:rsidR="00F555D1" w:rsidRPr="001D0251" w:rsidRDefault="00F555D1" w:rsidP="00F555D1">
      <w:pPr>
        <w:spacing w:before="120" w:after="0" w:line="360" w:lineRule="exact"/>
        <w:ind w:firstLine="567"/>
        <w:jc w:val="both"/>
        <w:rPr>
          <w:bCs/>
          <w:szCs w:val="28"/>
        </w:rPr>
      </w:pPr>
      <w:r w:rsidRPr="001D0251">
        <w:rPr>
          <w:szCs w:val="28"/>
        </w:rPr>
        <w:lastRenderedPageBreak/>
        <w:t xml:space="preserve">Thời gian tới, Chính phủ, Thủ tướng Chính phủ tiếp tục chỉ đạo các bộ, ngành, địa phương đổi mới mạnh mẽ công tác xây dựng pháp luật; thể chế hóa đầy đủ, kịp thời chủ trương của Đảng với tư duy "vừa quản lý chặt chẽ, vừa kiến tạo phát triển, huy động tối đa các nguồn lực cho phát triển, tạo không gian phát triển mới"; bảo đảm tiến độ, chất lượng các dự án luật, pháp lệnh, nghị quyết; tăng cường phân cấp, phân quyền, cắt giảm, đơn giản hóa thủ tục hành chính ngay trong quá trình xây dựng pháp luật; triển khai hiệu quả các luật, nghị quyết được Quốc hội thông qua, bảo đảm pháp luật được thực hiện công bằng, nghiêm minh, nhất quán, kịp thời, hiệu lực, hiệu quả. </w:t>
      </w:r>
    </w:p>
    <w:p w:rsidR="00F555D1" w:rsidRPr="001D0251" w:rsidRDefault="00F555D1" w:rsidP="00F555D1">
      <w:pPr>
        <w:spacing w:before="120" w:after="0" w:line="360" w:lineRule="exact"/>
        <w:ind w:firstLine="567"/>
        <w:jc w:val="both"/>
        <w:rPr>
          <w:bCs/>
          <w:szCs w:val="28"/>
        </w:rPr>
      </w:pPr>
      <w:r w:rsidRPr="001D0251">
        <w:rPr>
          <w:spacing w:val="-2"/>
          <w:szCs w:val="28"/>
        </w:rPr>
        <w:t>Kiên quyết cắt giảm, đơn giản hóa thủ tục hành chính, đổi mới việc thực hiện cơ chế một cửa, một cửa liên thông; đẩy mạnh cắt giảm thủ tục hành chính nội bộ; quyết liệt triển khai Đề án 06. Tiếp tục tinh gọn bộ máy, phát huy tính chủ động, sáng tạo của các bộ, ngành, địa phương; kiên quyết xóa bỏ cơ chế "xin, cho"; tạo môi trường đầu tư kinh doanh lành mạnh, thuận lợi phục vụ người dân, doanh nghiệp.</w:t>
      </w:r>
    </w:p>
    <w:p w:rsidR="00F555D1" w:rsidRPr="001D0251" w:rsidRDefault="00F555D1" w:rsidP="00F555D1">
      <w:pPr>
        <w:spacing w:before="120" w:after="0" w:line="360" w:lineRule="exact"/>
        <w:ind w:firstLine="567"/>
        <w:jc w:val="both"/>
        <w:rPr>
          <w:bCs/>
          <w:szCs w:val="28"/>
        </w:rPr>
      </w:pPr>
      <w:r w:rsidRPr="001D0251">
        <w:rPr>
          <w:b/>
          <w:szCs w:val="28"/>
        </w:rPr>
        <w:t>6. Đẩy mạnh công tác xóa nhà tạm, nhà dột nát trên phạm vi cả nước</w:t>
      </w:r>
    </w:p>
    <w:p w:rsidR="00F555D1" w:rsidRPr="001D0251" w:rsidRDefault="00F555D1" w:rsidP="00F555D1">
      <w:pPr>
        <w:spacing w:before="120" w:after="0" w:line="360" w:lineRule="exact"/>
        <w:ind w:firstLine="567"/>
        <w:jc w:val="both"/>
        <w:rPr>
          <w:szCs w:val="28"/>
        </w:rPr>
      </w:pPr>
      <w:r w:rsidRPr="001D0251">
        <w:rPr>
          <w:szCs w:val="28"/>
        </w:rPr>
        <w:t>Tại Thông báo số 523/TB-VPCP, ngày 16/11/2024, Thủ tướng Chính phủ yêu cầu các cấp, các ngành cần xác định việc hỗ trợ nhà ở cho người có công với cách mạng, xóa nhà tạm nhà dột nát cho hộ nghèo, hộ cận nghèo là một nhiệm vụ chính trị đặc biệt quan trọng, có ý nghĩa nhân văn sâu sắc. Trong quá trình triển khai cần quán triệt phương châm "Đảng lãnh đạo, Nhà nước quản lý, Mặt trận Tổ quốc và các đoàn thể hỗ trợ, Nhân dân làm chủ". Tập trung triển khai thực hiện Chương trình với tinh thần: "tư tưởng phải thông, quyết tâm cao, nỗ lực lớn, hành động quyết liệt, làm việc với tinh thần cao, có trọng tâm, trọng điểm, làm việc nào dứt việc đó, phân công rõ người, rõ việc, rõ thời gian, rõ trách nhiệm, rõ kết quả, rõ sản phẩm".</w:t>
      </w:r>
    </w:p>
    <w:p w:rsidR="00F555D1" w:rsidRPr="001D0251" w:rsidRDefault="00F555D1" w:rsidP="00F555D1">
      <w:pPr>
        <w:spacing w:before="120" w:after="0" w:line="360" w:lineRule="exact"/>
        <w:ind w:firstLine="567"/>
        <w:jc w:val="both"/>
        <w:rPr>
          <w:szCs w:val="28"/>
        </w:rPr>
      </w:pPr>
      <w:r w:rsidRPr="001D0251">
        <w:rPr>
          <w:szCs w:val="28"/>
        </w:rPr>
        <w:t>Chính quyền địa phương các cấp có vai trò quyết định sự thành công của Chương trình, trong đó lưu ý phát huy vai trò và gắn trách nhiệm của người đứng đầu trong việc rà soát, xác định đối tượng hỗ trợ, huy động, sử dụng hiệu quả các nguồn lực; xây dựng kế hoạch với lộ trình cụ thể để bảo đảm hoàn thành mục tiêu xóa nhà tạm, nhà dột nát trên phạm vi cả nước trong năm 2025.</w:t>
      </w:r>
    </w:p>
    <w:p w:rsidR="00F555D1" w:rsidRPr="001D0251" w:rsidRDefault="00F555D1" w:rsidP="00F555D1">
      <w:pPr>
        <w:spacing w:before="120" w:after="0" w:line="360" w:lineRule="exact"/>
        <w:ind w:firstLine="567"/>
        <w:jc w:val="both"/>
        <w:rPr>
          <w:szCs w:val="28"/>
        </w:rPr>
      </w:pPr>
      <w:r w:rsidRPr="001D0251">
        <w:rPr>
          <w:szCs w:val="28"/>
        </w:rPr>
        <w:t xml:space="preserve">Đa dạng hóa nguồn lực theo hướng toàn dân, toàn diện, rộng khắp, bao trùm. Trung ương dành nguồn vốn ngân sách nhà nước theo các chương trình, đề án hỗ trợ về nhà ở cho người có công với cách mạng, các chương trình mục tiêu quốc gia, các dự án hỗ trợ nhà ở cho hộ nghèo, hộ cận nghèo. </w:t>
      </w:r>
    </w:p>
    <w:p w:rsidR="00F555D1" w:rsidRPr="001D0251" w:rsidRDefault="00F555D1" w:rsidP="00F555D1">
      <w:pPr>
        <w:spacing w:before="120" w:after="0" w:line="360" w:lineRule="exact"/>
        <w:ind w:firstLine="567"/>
        <w:jc w:val="both"/>
        <w:rPr>
          <w:szCs w:val="28"/>
        </w:rPr>
      </w:pPr>
      <w:r w:rsidRPr="001D0251">
        <w:rPr>
          <w:szCs w:val="28"/>
        </w:rPr>
        <w:t xml:space="preserve">Tăng cường công tác tuyên truyền, tạo động lực, truyền cảm hứng xã hội, tạo ra phong trào, tổ chức triển khai như chiến dịch, ngày hội xoá nhà tạm, nhà </w:t>
      </w:r>
      <w:r w:rsidRPr="001D0251">
        <w:rPr>
          <w:szCs w:val="28"/>
        </w:rPr>
        <w:lastRenderedPageBreak/>
        <w:t>dột nát, tạo sự đồng thuận xã hội để mọi người ủng hộ, chia sẻ, cùng chung tay hỗ trợ với tỉnh thần "không để ai bị bỏ lại phía sau".</w:t>
      </w:r>
    </w:p>
    <w:p w:rsidR="00F555D1" w:rsidRPr="001D0251" w:rsidRDefault="00F555D1" w:rsidP="00F555D1">
      <w:pPr>
        <w:spacing w:before="120" w:after="0" w:line="360" w:lineRule="exact"/>
        <w:ind w:firstLine="567"/>
        <w:jc w:val="both"/>
        <w:rPr>
          <w:szCs w:val="28"/>
        </w:rPr>
      </w:pPr>
      <w:r w:rsidRPr="001D0251">
        <w:rPr>
          <w:szCs w:val="28"/>
        </w:rPr>
        <w:t>Các bộ, ngành, địa phương thực hiện tốt việc kiểm tra, giám sát, đôn đốc thực hiện các chính sách hỗ trợ nhà ở cho người có công với cách mạng, hộ nghèo, hộ cận nghèo và các Chương trình mục tiêu quốc gia theo quy định, không để trùng lắp đối tượng, không để bị lợi dụng, trục lợi, tiêu cực, lãng phí.</w:t>
      </w:r>
    </w:p>
    <w:p w:rsidR="00F555D1" w:rsidRPr="001D0251" w:rsidRDefault="00F555D1" w:rsidP="00F555D1">
      <w:pPr>
        <w:spacing w:before="120" w:after="0" w:line="360" w:lineRule="exact"/>
        <w:ind w:firstLine="567"/>
        <w:jc w:val="both"/>
        <w:rPr>
          <w:szCs w:val="28"/>
        </w:rPr>
      </w:pPr>
      <w:r w:rsidRPr="001D0251">
        <w:rPr>
          <w:szCs w:val="28"/>
        </w:rPr>
        <w:t>Mức hỗ trợ nhà ở đối với tất cả các đối tượng (trừ đối tượng hộ thuộc diện bảo trợ xã hội - không có khả năng đối ứng) là 60 triệu đồng/hộ khi xây dựng mới và 30 triệu đồng/hộ khi sửa chữa. Đối với các hộ thuộc 02 chương trình mục tiêu quốc gia: vận động thêm nguồn lực xã hội hóa để bảo đảm bằng mức trên; không hồi tố đối với các hộ đã hoàn thành xây mới, sửa chữa nhà ở.</w:t>
      </w:r>
    </w:p>
    <w:p w:rsidR="00F555D1" w:rsidRPr="001D0251" w:rsidRDefault="00F555D1" w:rsidP="00F555D1">
      <w:pPr>
        <w:spacing w:before="120" w:after="0" w:line="360" w:lineRule="exact"/>
        <w:ind w:firstLine="567"/>
        <w:jc w:val="both"/>
        <w:rPr>
          <w:szCs w:val="28"/>
        </w:rPr>
      </w:pPr>
      <w:r w:rsidRPr="001D0251">
        <w:rPr>
          <w:szCs w:val="28"/>
        </w:rPr>
        <w:t xml:space="preserve">Về đối tượng hỗ trợ nhà ở (ngoài hộ người có công với cách mạng), thống nhất hỗ trợ xoá nhà tạm, nhà dột nát cho hộ nghèo, hộ cận nghèo theo số liệu các địa phương đã báo cáo Bộ Lao động - Thương binh và Xã hội. Về đất xây dựng nhà ở, thống nhất chủ trương hỗ trợ xây nhà ở trên đất ở không có tranh chấp, giao Chủ tịch Ủy ban nhân dân cấp huyện, cấp xã quyết định theo phân cấp hoặc báo cáo cấp có thẩm quyền theo quy định. Về mẫu nhà ở, giao Bộ Xây dựng Hướng dẫn, Chủ tịch Ủy ban nhân dân cấp tỉnh quyết định cụ thể bảo đảm phù hợp với đặc thù của từng địa bàn. </w:t>
      </w:r>
    </w:p>
    <w:p w:rsidR="00F555D1" w:rsidRPr="001D0251" w:rsidRDefault="00F555D1" w:rsidP="00F555D1">
      <w:pPr>
        <w:spacing w:before="120" w:after="0" w:line="360" w:lineRule="exact"/>
        <w:ind w:firstLine="567"/>
        <w:jc w:val="both"/>
        <w:rPr>
          <w:szCs w:val="28"/>
        </w:rPr>
      </w:pPr>
      <w:r w:rsidRPr="001D0251">
        <w:rPr>
          <w:szCs w:val="28"/>
        </w:rPr>
        <w:t>Các địa phương cần có giải pháp, cách làm sáng tạo, linh hoạt; tăng cường kiểm tra, giám sát về giá nguyên vật liệu xây dựng nhà ở trên địa bàn, chủ yếu sử dụng vật liệu của địa phương; huy động mọi lực lượng hỗ trợ, vận động cộng đồng hỗ trợ gia đình, bản thân gia đình tham gia xây dựng. Lực lượng quân đội, công an tham gia hỗ trợ vận chuyển vật liệu, thi công để giảm bớt chi phí.</w:t>
      </w:r>
    </w:p>
    <w:p w:rsidR="00F555D1" w:rsidRPr="001D0251" w:rsidRDefault="00F555D1" w:rsidP="00F555D1">
      <w:pPr>
        <w:spacing w:before="120" w:after="0" w:line="360" w:lineRule="exact"/>
        <w:ind w:firstLine="567"/>
        <w:jc w:val="both"/>
        <w:rPr>
          <w:b/>
          <w:szCs w:val="28"/>
        </w:rPr>
      </w:pPr>
      <w:r w:rsidRPr="001D0251">
        <w:rPr>
          <w:b/>
          <w:szCs w:val="28"/>
        </w:rPr>
        <w:t>7.</w:t>
      </w:r>
      <w:r w:rsidRPr="001D0251">
        <w:rPr>
          <w:szCs w:val="28"/>
        </w:rPr>
        <w:t xml:space="preserve"> </w:t>
      </w:r>
      <w:r w:rsidRPr="001D0251">
        <w:rPr>
          <w:b/>
          <w:szCs w:val="28"/>
        </w:rPr>
        <w:t>Tăng cường đôn đốc thu ngân sách nhà nước đối với các khoản thu liên quan đến đất đai</w:t>
      </w:r>
    </w:p>
    <w:p w:rsidR="00F555D1" w:rsidRPr="001D0251" w:rsidRDefault="00F555D1" w:rsidP="00F555D1">
      <w:pPr>
        <w:spacing w:before="120" w:after="0" w:line="360" w:lineRule="exact"/>
        <w:ind w:firstLine="567"/>
        <w:jc w:val="both"/>
        <w:rPr>
          <w:szCs w:val="28"/>
        </w:rPr>
      </w:pPr>
      <w:r w:rsidRPr="001D0251">
        <w:rPr>
          <w:szCs w:val="28"/>
        </w:rPr>
        <w:t>Để góp phần hoàn thành nhiệm vụ thu ngân sách nhà nước (NSNN) ở mức cao nhất, tạo đà thực hiện tốt các nhiệm vụ phát triển kinh tế - xã hội năm 2025 và giai đoạn 2026 - 2030, tại Công điện số 124/CĐ-TTg, ngày 30/11/2024, Thủ tướng Chính phủ yêu cầu các bộ, ngành theo chức năng khẩn trương thực hiện các nhiệm vụ sau:</w:t>
      </w:r>
    </w:p>
    <w:p w:rsidR="00F555D1" w:rsidRPr="001D0251" w:rsidRDefault="00F555D1" w:rsidP="00F555D1">
      <w:pPr>
        <w:spacing w:before="120" w:after="0" w:line="360" w:lineRule="exact"/>
        <w:ind w:firstLine="567"/>
        <w:jc w:val="both"/>
        <w:rPr>
          <w:szCs w:val="28"/>
        </w:rPr>
      </w:pPr>
      <w:r w:rsidRPr="001D0251">
        <w:rPr>
          <w:szCs w:val="28"/>
        </w:rPr>
        <w:t xml:space="preserve">Tăng cường các giải pháp quản lý thu, kiểm soát chặt chẽ việc tính thuế, khai thuế, nộp thuế, thực hiện thu đúng, đủ các khoản thu phát sinh theo quy định của pháp luật thuế, chống thất thu cho NSNN. Rà soát, đôn đốc nộp kịp thời vào NSNN đối với các khoản tiền thuế, tiền thuê đất đã được gia hạn theo Nghị định số 64/2024/NĐ-CP, ngày 17/6/2024 về gia hạn thời hạn nộp thuế giá trị gia tăng, thuế thu nhập doanh nghiệp, thuế thu nhập cá nhân và tiền thuê đất trong năm 2024, Nghị định số 65/2024/NĐ-CP, ngày 17/6/2024 về gia hạn thời </w:t>
      </w:r>
      <w:r w:rsidRPr="001D0251">
        <w:rPr>
          <w:szCs w:val="28"/>
        </w:rPr>
        <w:lastRenderedPageBreak/>
        <w:t>hạn nộp thuế tiêu thụ đặc biệt đối với ô tô sản xuất hoặc lắp ráp trong nước khi hết thời gian gia hạn. Tăng cường kỷ luật, kỷ cương tài chính trong quản lý NSNN, đẩy mạnh thanh tra, kiểm tra, chống thất thu, thu hồi nợ thuế quyết liệt.</w:t>
      </w:r>
    </w:p>
    <w:p w:rsidR="00F555D1" w:rsidRPr="001D0251" w:rsidRDefault="00F555D1" w:rsidP="00F555D1">
      <w:pPr>
        <w:spacing w:before="120" w:after="0" w:line="360" w:lineRule="exact"/>
        <w:ind w:firstLine="567"/>
        <w:jc w:val="both"/>
        <w:rPr>
          <w:szCs w:val="28"/>
        </w:rPr>
      </w:pPr>
      <w:r w:rsidRPr="001D0251">
        <w:rPr>
          <w:szCs w:val="28"/>
        </w:rPr>
        <w:t xml:space="preserve">Kịp thời xử lý, tháo gỡ khó khăn, vướng mắc về thủ tục, về giá đối với các dự án bất động sản, đẩy nhanh tiến độ giải ngân vốn đầu tư công, tổ chức đấu giá, giao đất, cho thuê đất, đôn đốc thu kịp thời vào NSNN các khoản thu phát sinh theo quy định của pháp luật về thu ngân sách; đẩy mạnh công tác chống thất thu đối với hoạt động chuyển nhượng bất động sản hai giá để tạo thị trường bất động sản lành mạnh; rà soát toàn bộ các dự án chậm triển khai, còn nợ tiền sử dụng đất. </w:t>
      </w:r>
    </w:p>
    <w:p w:rsidR="00F555D1" w:rsidRPr="001D0251" w:rsidRDefault="00F555D1" w:rsidP="00F555D1">
      <w:pPr>
        <w:spacing w:before="120" w:after="0" w:line="360" w:lineRule="exact"/>
        <w:ind w:firstLine="567"/>
        <w:jc w:val="both"/>
        <w:rPr>
          <w:szCs w:val="28"/>
        </w:rPr>
      </w:pPr>
      <w:r w:rsidRPr="001D0251">
        <w:rPr>
          <w:szCs w:val="28"/>
        </w:rPr>
        <w:t xml:space="preserve">Tiếp tục tổ chức tập huấn, tuyên truyền, phổ biến, hướng dẫn địa phương các quy định của Luật đất đai; theo dõi sát sao việc tổ chức, triển khai thi hành Luật đất đai trên phạm vi cả nước; tổng hợp các khó khăn, vướng mắc để xử lý, tháo gỡ theo thẩm quyền và báo cáo các nội dung vượt thẩm quyền. </w:t>
      </w:r>
    </w:p>
    <w:p w:rsidR="00F555D1" w:rsidRPr="001D0251" w:rsidRDefault="00F555D1" w:rsidP="00F555D1">
      <w:pPr>
        <w:spacing w:before="120" w:after="0" w:line="360" w:lineRule="exact"/>
        <w:ind w:firstLine="567"/>
        <w:jc w:val="both"/>
        <w:rPr>
          <w:spacing w:val="-4"/>
          <w:szCs w:val="28"/>
        </w:rPr>
      </w:pPr>
      <w:r w:rsidRPr="001D0251">
        <w:rPr>
          <w:spacing w:val="-4"/>
          <w:szCs w:val="28"/>
        </w:rPr>
        <w:t>Tiếp tục phát huy hiệu quả hoạt động của Tổ công tác của Thủ tướng Chính phủ. Rà soát, đôn đốc, hướng dẫn tháo gỡ khó khăn, vướng mắc trong triển khai thực hiện dự án bất động sản cho các địa phương, doanh nghiệp, nhất là khó khăn, vướng mắc về pháp lý, quy hoạch, các dự án có khả năng thanh khoản tốt, dự án nhà ở thương mại, nhà ở xã hội, khu đô thị mới… từ đó tạo lập và thúc đẩy thị trường bất động sản phát triển, thu hút nhiều dự án đầu tư lớn, tạo nguồn tăng thu cho NSNN.</w:t>
      </w:r>
    </w:p>
    <w:p w:rsidR="00F555D1" w:rsidRPr="001D0251" w:rsidRDefault="00F555D1" w:rsidP="00F555D1">
      <w:pPr>
        <w:spacing w:before="120" w:after="0" w:line="360" w:lineRule="exact"/>
        <w:ind w:firstLine="567"/>
        <w:jc w:val="both"/>
        <w:rPr>
          <w:szCs w:val="28"/>
        </w:rPr>
      </w:pPr>
      <w:r w:rsidRPr="001D0251">
        <w:rPr>
          <w:szCs w:val="28"/>
        </w:rPr>
        <w:t>Tiếp tục tháo gỡ khó khăn, vướng mắc về thể chế, hướng dẫn kịp thời và đôn đốc xử lý các vấn đề phát sinh, đẩy nhanh tiến độ thi công và hoàn thành các dự án kết cấu hạ tầng giao thông quan trọng, các dự án trọng điểm quốc gia, các dự án có tính chất kết nối liên vùng, đưa vào khai thác, sử dụng đúng tiến độ, tạo hiệu ứng và nâng cao giá trị các khu đất đấu giá tại các địa phương, khai thác tăng thu từ nguồn lực đất đai.</w:t>
      </w:r>
    </w:p>
    <w:p w:rsidR="00F555D1" w:rsidRPr="001D0251" w:rsidRDefault="00F555D1" w:rsidP="00F555D1">
      <w:pPr>
        <w:spacing w:before="120" w:after="0" w:line="360" w:lineRule="exact"/>
        <w:ind w:firstLine="567"/>
        <w:jc w:val="both"/>
        <w:rPr>
          <w:szCs w:val="28"/>
        </w:rPr>
      </w:pPr>
      <w:r w:rsidRPr="001D0251">
        <w:rPr>
          <w:szCs w:val="28"/>
        </w:rPr>
        <w:t>Tăng cường kỷ cương, kỷ luật, khẩn trương quán triệt đến từng đơn vị, cán bộ, công chức, viên chức việc thực hiện nghiêm túc các chỉ đạo của Thủ tướng Chính phủ. Xử lý nghiêm tổ chức, cá nhân cố tình né tránh, đùn đẩy công việc, thoái thác nhiệm vụ, thiếu trách nhiệm trong thực thi công vụ, để xảy ra chậm trễ hoặc không quyết định vấn đề, công việc thuộc thẩm quyền. Kịp thời biểu dương, khen thưởng những tập thể, cá nhân thực hiện tốt chức trách, nhiệm vụ được giao, bảo vệ cán bộ dám nghĩ, dám làm vì lợi ích chung.</w:t>
      </w:r>
    </w:p>
    <w:p w:rsidR="00F555D1" w:rsidRPr="001D0251" w:rsidRDefault="00F555D1" w:rsidP="00F555D1">
      <w:pPr>
        <w:spacing w:before="120" w:after="0" w:line="360" w:lineRule="exact"/>
        <w:ind w:firstLine="567"/>
        <w:jc w:val="both"/>
        <w:rPr>
          <w:b/>
          <w:szCs w:val="28"/>
        </w:rPr>
      </w:pPr>
      <w:r w:rsidRPr="001D0251">
        <w:rPr>
          <w:b/>
          <w:szCs w:val="28"/>
        </w:rPr>
        <w:t xml:space="preserve">8. Kế hoạch thực hiện Quy hoạch một số vùng trọng điểm thời kỳ 2021 - 2030, tầm nhìn đến năm 2050 </w:t>
      </w:r>
    </w:p>
    <w:p w:rsidR="00F555D1" w:rsidRPr="001D0251" w:rsidRDefault="00F555D1" w:rsidP="00F555D1">
      <w:pPr>
        <w:spacing w:before="120" w:after="0" w:line="360" w:lineRule="exact"/>
        <w:ind w:firstLine="567"/>
        <w:jc w:val="both"/>
        <w:rPr>
          <w:i/>
          <w:szCs w:val="28"/>
        </w:rPr>
      </w:pPr>
      <w:r w:rsidRPr="001D0251">
        <w:rPr>
          <w:i/>
          <w:szCs w:val="28"/>
        </w:rPr>
        <w:t xml:space="preserve">* Vùng Đông Nam Bộ </w:t>
      </w:r>
    </w:p>
    <w:p w:rsidR="00F555D1" w:rsidRPr="001D0251" w:rsidRDefault="00F555D1" w:rsidP="00F555D1">
      <w:pPr>
        <w:spacing w:before="120" w:after="0" w:line="360" w:lineRule="exact"/>
        <w:ind w:firstLine="567"/>
        <w:jc w:val="both"/>
        <w:rPr>
          <w:szCs w:val="28"/>
        </w:rPr>
      </w:pPr>
      <w:r w:rsidRPr="001D0251">
        <w:rPr>
          <w:szCs w:val="28"/>
        </w:rPr>
        <w:lastRenderedPageBreak/>
        <w:t xml:space="preserve">Kế hoạch thực hiện Quy hoạch vùng Đông Nam Bộ thời kỳ 2021 - 2030, tầm nhìn đến năm 2050 được ban hành bởi Quyết định số 1325/QĐ-TTg, ngày 04/11/2024 nêu một số nhiệm vụ trọng tâm sau: </w:t>
      </w:r>
    </w:p>
    <w:p w:rsidR="00F555D1" w:rsidRPr="001D0251" w:rsidRDefault="00F555D1" w:rsidP="00F555D1">
      <w:pPr>
        <w:spacing w:before="120" w:after="0" w:line="360" w:lineRule="exact"/>
        <w:ind w:firstLine="567"/>
        <w:jc w:val="both"/>
        <w:rPr>
          <w:spacing w:val="-2"/>
          <w:szCs w:val="28"/>
        </w:rPr>
      </w:pPr>
      <w:r w:rsidRPr="001D0251">
        <w:rPr>
          <w:spacing w:val="-2"/>
          <w:szCs w:val="28"/>
        </w:rPr>
        <w:t>Phát triển mạnh một số ngành công nghiệp, như: cơ khí chế tạo, hóa dầu, sản phẩm hạ nguồn của ngành công nghiệp hóa dầu, chế biến sản phẩm từ dầu, hóa chất. Ưu tiên phát triển một số ngành công nghiệp mũi nhọn, công nghệ mới, công nghệ cao như: điện tử - viễn thông; công nghiệp sản xuất rô bốt, thiết bị tích hợp vận hành tự động, điều khiển từ xa, công nghiệp sản xuất phần mềm, sản phẩm số, công nghiệp an toàn thông tin, công nghiệp hóa phẩm, dược phẩm, chế phẩm sinh học, sản xuất thuốc, vaccine, công nghiệp vật liệu mới, công nghiệp môi trường và các ngành công nghiệp hỗ trợ; tăng cường kết nối các khu công nghiệp, khu chế xuất để hình thành các cụm liên kết ngành công nghiệp, tập trung phát triển các cụm liên kết ngành.</w:t>
      </w:r>
    </w:p>
    <w:p w:rsidR="00F555D1" w:rsidRPr="001D0251" w:rsidRDefault="00F555D1" w:rsidP="00F555D1">
      <w:pPr>
        <w:spacing w:before="120" w:after="0" w:line="360" w:lineRule="exact"/>
        <w:ind w:firstLine="567"/>
        <w:jc w:val="both"/>
        <w:rPr>
          <w:szCs w:val="28"/>
        </w:rPr>
      </w:pPr>
      <w:r w:rsidRPr="001D0251">
        <w:rPr>
          <w:szCs w:val="28"/>
        </w:rPr>
        <w:t>Phát triển các khu công nghiệp - dịch vụ - đô thị hiện đại và các khu công nghiệp công nghệ cao. Xây dựng mới một số khu công nghệ thông tin tập trung tại Thành phố Hồ Chí Minh và hình thành vùng động lực công nghiệp công nghệ thông tin, thu hút đầu tư sản xuất các sản phẩm điện, điện tử, các sản phẩm Internet vạn vật (IoT), trí tuệ nhân tạo tại các tỉnh Đồng Nai, Bình Dương và Bà Rịa - Vũng Tàu.</w:t>
      </w:r>
    </w:p>
    <w:p w:rsidR="00F555D1" w:rsidRPr="001D0251" w:rsidRDefault="00F555D1" w:rsidP="00F555D1">
      <w:pPr>
        <w:spacing w:before="120" w:after="0" w:line="360" w:lineRule="exact"/>
        <w:ind w:firstLine="567"/>
        <w:jc w:val="both"/>
        <w:rPr>
          <w:szCs w:val="28"/>
        </w:rPr>
      </w:pPr>
      <w:r w:rsidRPr="001D0251">
        <w:rPr>
          <w:szCs w:val="28"/>
        </w:rPr>
        <w:t>Phát triển công nghiệp xanh, năng lượng sạch, năng lượng tái tạo gắn với bảo vệ môi trường; chuyển dịch nhanh những lĩnh vực công nghiệp, sản xuất sử dụng nhiều tài nguyên, hàm lượng giá trị gia tăng thấp sang sử dụng công nghệ cao, thân thiện môi trường, có hàm lượng giá trị gia tăng cao. Phát triển dịch vụ có chất lượng và có giá trị gia tăng cao trong các lĩnh vực tài chính, ngân hàng, bảo hiểm; công nghệ thông tin - viễn thông; khoa học công nghệ; giáo dục - đào tạo; y tế; du lịch; logistics.</w:t>
      </w:r>
    </w:p>
    <w:p w:rsidR="00F555D1" w:rsidRPr="001D0251" w:rsidRDefault="00F555D1" w:rsidP="00F555D1">
      <w:pPr>
        <w:spacing w:before="120" w:after="0" w:line="360" w:lineRule="exact"/>
        <w:ind w:firstLine="567"/>
        <w:jc w:val="both"/>
        <w:rPr>
          <w:szCs w:val="28"/>
        </w:rPr>
      </w:pPr>
      <w:r w:rsidRPr="001D0251">
        <w:rPr>
          <w:szCs w:val="28"/>
        </w:rPr>
        <w:t xml:space="preserve">Phát triển mạnh, đồng bộ hệ thống logistics cấp quốc gia, quốc tế gắn với cảng biển, cảng hàng không, cửa khẩu quốc tế, các trục hành lang kinh tế trọng điểm và tuyến thương mại liên vùng tại Thành phố Hồ Chí Minh, Bình Dương, Long Thành, Nhơn Trạch (tỉnh Đồng Nai), thị xã Phú Mỹ (tỉnh Bà Rịa - Vũng Tàu), Tây Ninh. Tập trung xây dựng Trung tâm logistics hàng không gắn với sân bay quốc tế Long Thành, đầu tư phát triển hệ thống logistics cảng tại Bà Rịa - Vũng Tàu và Thành phố Hồ Chí Minh. </w:t>
      </w:r>
    </w:p>
    <w:p w:rsidR="00F555D1" w:rsidRPr="001D0251" w:rsidRDefault="00F555D1" w:rsidP="00F555D1">
      <w:pPr>
        <w:spacing w:before="120" w:after="0" w:line="360" w:lineRule="exact"/>
        <w:ind w:firstLine="567"/>
        <w:jc w:val="both"/>
        <w:rPr>
          <w:szCs w:val="28"/>
        </w:rPr>
      </w:pPr>
      <w:r w:rsidRPr="001D0251">
        <w:rPr>
          <w:szCs w:val="28"/>
        </w:rPr>
        <w:t>Xây dựng và thực hiện đồng bộ các cơ chế, chính sách để phát triển Thành phố Hồ Chí Minh trở thành các đô thị hiện đại, thông minh, dẫn dắt và tạo hiệu ứng lan toả, liên kết vùng đô thị, đủ sức cạnh tranh, hội nhập khu vực và quốc tế, có vai trò quan trọng trong mạng lưới đô thị của khu vực Đông Nam Á, châu Á.</w:t>
      </w:r>
    </w:p>
    <w:p w:rsidR="00F555D1" w:rsidRPr="001D0251" w:rsidRDefault="00F555D1" w:rsidP="00F555D1">
      <w:pPr>
        <w:spacing w:before="120" w:after="0" w:line="360" w:lineRule="exact"/>
        <w:ind w:firstLine="567"/>
        <w:jc w:val="both"/>
        <w:rPr>
          <w:i/>
          <w:szCs w:val="28"/>
        </w:rPr>
      </w:pPr>
      <w:r w:rsidRPr="001D0251">
        <w:rPr>
          <w:i/>
          <w:szCs w:val="28"/>
        </w:rPr>
        <w:t xml:space="preserve">* Vùng Tây Nguyên </w:t>
      </w:r>
    </w:p>
    <w:p w:rsidR="00F555D1" w:rsidRPr="001D0251" w:rsidRDefault="00F555D1" w:rsidP="00F555D1">
      <w:pPr>
        <w:spacing w:before="120" w:after="0" w:line="360" w:lineRule="exact"/>
        <w:ind w:firstLine="567"/>
        <w:jc w:val="both"/>
        <w:rPr>
          <w:szCs w:val="28"/>
        </w:rPr>
      </w:pPr>
      <w:r w:rsidRPr="001D0251">
        <w:rPr>
          <w:szCs w:val="28"/>
        </w:rPr>
        <w:lastRenderedPageBreak/>
        <w:t xml:space="preserve">Kế hoạch thực hiện Quy hoạch vùng Tây Nguyên thời kỳ 2021 - 2030, tầm nhìn đến năm 2050 được ban hành bởi Quyết định số 1337/QĐ-TTg, ngày 06/11/2024 nêu một số nhóm nhiệm vụ trọng tâm sau: </w:t>
      </w:r>
    </w:p>
    <w:p w:rsidR="00F555D1" w:rsidRPr="001D0251" w:rsidRDefault="00F555D1" w:rsidP="00F555D1">
      <w:pPr>
        <w:spacing w:before="120" w:after="0" w:line="360" w:lineRule="exact"/>
        <w:ind w:firstLine="567"/>
        <w:jc w:val="both"/>
        <w:rPr>
          <w:szCs w:val="28"/>
        </w:rPr>
      </w:pPr>
      <w:r w:rsidRPr="001D0251">
        <w:rPr>
          <w:szCs w:val="28"/>
        </w:rPr>
        <w:t xml:space="preserve">Phát triển kinh tế nông nghiệp hiệu quả cao, sinh thái, hữu cơ, quy mô lớn gắn với vùng sản xuất nông nghiệp tập trung áp dụng công nghệ cao, phù hợp với điều kiện tự nhiên của vùng và từng tiểu vùng; tập trung phát triển các cây trồng chủ lực. </w:t>
      </w:r>
    </w:p>
    <w:p w:rsidR="00F555D1" w:rsidRPr="001D0251" w:rsidRDefault="00F555D1" w:rsidP="00F555D1">
      <w:pPr>
        <w:spacing w:before="120" w:after="0" w:line="360" w:lineRule="exact"/>
        <w:ind w:firstLine="567"/>
        <w:jc w:val="both"/>
        <w:rPr>
          <w:szCs w:val="28"/>
        </w:rPr>
      </w:pPr>
      <w:r w:rsidRPr="001D0251">
        <w:rPr>
          <w:szCs w:val="28"/>
        </w:rPr>
        <w:t>Phát triển kinh tế lâm nghiệp, kinh tế rừng, khuyến khích trồng rừng sản xuất ở những nơi có điều kiện phù hợp về đất đai, tạo vùng nguyên liệu cho các nhà máy chế biến lâm sản; phát triển cây dược liệu và các loại lâm sản ngoài gỗ dưới tán rừng; tiếp tục phát triển bền vững các vùng nguyên liệu đảm bảo hiệu quả kinh tế gắn với bảo vệ môi trường trong khai thác, chế biến lâm sản và các loại lâm sản ngoài gỗ; tăng nguồn thu từ dịch vụ môi trường rừng, dịch vụ bán tín chỉ carbon.</w:t>
      </w:r>
    </w:p>
    <w:p w:rsidR="00F555D1" w:rsidRPr="001D0251" w:rsidRDefault="00F555D1" w:rsidP="00F555D1">
      <w:pPr>
        <w:spacing w:before="120" w:after="0" w:line="360" w:lineRule="exact"/>
        <w:ind w:firstLine="567"/>
        <w:jc w:val="both"/>
        <w:rPr>
          <w:szCs w:val="28"/>
        </w:rPr>
      </w:pPr>
      <w:r w:rsidRPr="001D0251">
        <w:rPr>
          <w:szCs w:val="28"/>
        </w:rPr>
        <w:t>Ưu tiên phát triển và đẩy nhanh quá trình chuyển dịch cơ cấu theo hướng tăng tỷ trọng của các ngành công nghiệp chế biến, chế tạo, các ngành công nghiệp có giá trị gia tăng và hàm lượng công nghệ cao, thân thiện môi trường; gắn với lợi thế về nguồn nguyên liệu trong vùng, tăng cường liên kết hiệu quả với công nghiệp tiểu vùng Trung Trung Bộ, Nam Trung Bộ và vùng Đông Nam Bộ và khu vực Tam giác phát triển Việt Nam - Lào - Campuchia để mở rộng thị trường cung ứng nguyên vật liệu và tiêu thụ sản phẩm; tăng cường đầu tư của các doanh nghiệp công nghiệp sang các nước Lào và Campuchia.</w:t>
      </w:r>
    </w:p>
    <w:p w:rsidR="00F555D1" w:rsidRPr="001D0251" w:rsidRDefault="00F555D1" w:rsidP="00F555D1">
      <w:pPr>
        <w:spacing w:before="120" w:after="0" w:line="360" w:lineRule="exact"/>
        <w:ind w:firstLine="567"/>
        <w:jc w:val="both"/>
        <w:rPr>
          <w:szCs w:val="28"/>
        </w:rPr>
      </w:pPr>
      <w:r w:rsidRPr="001D0251">
        <w:rPr>
          <w:szCs w:val="28"/>
        </w:rPr>
        <w:t xml:space="preserve">Tập trung hoàn thiện mạng lưới giao thông vận tải, trên cơ sở phù hợp các quy hoạch ngành giao thông vận tải được cấp có thẩm quyền phê duyệt (quy mô, tiến trình đầu tư) và phát huy lợi thế của các phương thức vận tải, bảo đảm kết nối nội vùng và liên vùng theo hướng đồng bộ, hiện đại, kết nối thuận lợi toàn vùng tới các cảng biển, cảng hàng không nội địa và quốc tế, giảm chi phí vận tải. </w:t>
      </w:r>
    </w:p>
    <w:p w:rsidR="00F555D1" w:rsidRPr="001D0251" w:rsidRDefault="00F555D1" w:rsidP="00F555D1">
      <w:pPr>
        <w:spacing w:before="120" w:after="0" w:line="360" w:lineRule="exact"/>
        <w:ind w:firstLine="567"/>
        <w:jc w:val="both"/>
        <w:rPr>
          <w:szCs w:val="28"/>
        </w:rPr>
      </w:pPr>
      <w:r w:rsidRPr="001D0251">
        <w:rPr>
          <w:szCs w:val="28"/>
        </w:rPr>
        <w:t>Tập trung thực hiện 3 trụ cột của chuyển đổi số gồm chính quyền số, kinh tế số, xã hội số đảm bảo tính đồng bộ, hiện đại, phù hợp với Quy hoạch hạ tầng thông tin và truyền thông thời kỳ 2021 - 2030, tầm nhìn đến năm 2050. Phát triển mạng lưới cơ sở hạ tầng xã hội đồng bộ trên địa bàn vùng bao gồm mạng lưới cơ sở giáo dục và đào tạo, mạng lưới cơ sở giáo dục nghề nghiệp và trợ giúp xã hội, mạng lưới cơ sở y tế, chăm sóc sức khỏe, mạng lưới cơ sở văn hóa và thể thao, mạng lưới khoa học, công nghệ và đổi mới sáng tạo, hạ tầng thương mại và logistic, hạ tầng báo chí, xuất bản, phát thanh, truyền hình, thông tin cơ sở, thông tin đối ngoại...</w:t>
      </w:r>
      <w:bookmarkStart w:id="0" w:name="_GoBack"/>
      <w:bookmarkEnd w:id="0"/>
    </w:p>
    <w:p w:rsidR="00F555D1" w:rsidRPr="001D0251" w:rsidRDefault="00F555D1" w:rsidP="00F555D1">
      <w:pPr>
        <w:spacing w:before="120" w:after="0" w:line="360" w:lineRule="exact"/>
        <w:ind w:firstLine="567"/>
        <w:jc w:val="both"/>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1824989</wp:posOffset>
                </wp:positionH>
                <wp:positionV relativeFrom="paragraph">
                  <wp:posOffset>13335</wp:posOffset>
                </wp:positionV>
                <wp:extent cx="2771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7pt,1.05pt" to="36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" strokecolor="#4579b8 [3044]"/>
            </w:pict>
          </mc:Fallback>
        </mc:AlternateContent>
      </w:r>
    </w:p>
    <w:p w:rsidR="000F3920" w:rsidRDefault="000F3920"/>
    <w:sectPr w:rsidR="000F3920"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35" w:rsidRDefault="00884435" w:rsidP="00F555D1">
      <w:pPr>
        <w:spacing w:after="0" w:line="240" w:lineRule="auto"/>
      </w:pPr>
      <w:r>
        <w:separator/>
      </w:r>
    </w:p>
  </w:endnote>
  <w:endnote w:type="continuationSeparator" w:id="0">
    <w:p w:rsidR="00884435" w:rsidRDefault="00884435" w:rsidP="00F5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35" w:rsidRDefault="00884435" w:rsidP="00F555D1">
      <w:pPr>
        <w:spacing w:after="0" w:line="240" w:lineRule="auto"/>
      </w:pPr>
      <w:r>
        <w:separator/>
      </w:r>
    </w:p>
  </w:footnote>
  <w:footnote w:type="continuationSeparator" w:id="0">
    <w:p w:rsidR="00884435" w:rsidRDefault="00884435" w:rsidP="00F555D1">
      <w:pPr>
        <w:spacing w:after="0" w:line="240" w:lineRule="auto"/>
      </w:pPr>
      <w:r>
        <w:continuationSeparator/>
      </w:r>
    </w:p>
  </w:footnote>
  <w:footnote w:id="1">
    <w:p w:rsidR="00F555D1" w:rsidRDefault="00F555D1" w:rsidP="00F555D1">
      <w:pPr>
        <w:pStyle w:val="FootnoteText"/>
        <w:jc w:val="both"/>
      </w:pPr>
      <w:r>
        <w:rPr>
          <w:rStyle w:val="FootnoteReference"/>
        </w:rPr>
        <w:footnoteRef/>
      </w:r>
      <w:r>
        <w:t xml:space="preserve"> Hội kiến Nhà vua và Hoàng hậu Nhật Bản, Thủ tướng Ishiba Shigeru; hội đàm với Chủ tịch Thượng viện Sekiguchi Masakazu, Chủ tịch Hạ viện Nukaga Fukushiro.</w:t>
      </w:r>
    </w:p>
  </w:footnote>
  <w:footnote w:id="2">
    <w:p w:rsidR="00F555D1" w:rsidRPr="009D5A8A" w:rsidRDefault="00F555D1" w:rsidP="00F555D1">
      <w:pPr>
        <w:pStyle w:val="FootnoteText"/>
      </w:pPr>
      <w:r w:rsidRPr="009D5A8A">
        <w:rPr>
          <w:rStyle w:val="FootnoteReference"/>
        </w:rPr>
        <w:footnoteRef/>
      </w:r>
      <w:r w:rsidRPr="009D5A8A">
        <w:t xml:space="preserve"> Nguồn: Tổng Cục Hải quan.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D1"/>
    <w:rsid w:val="000F3920"/>
    <w:rsid w:val="001C03D1"/>
    <w:rsid w:val="00236001"/>
    <w:rsid w:val="00531E03"/>
    <w:rsid w:val="00831028"/>
    <w:rsid w:val="00884435"/>
    <w:rsid w:val="00DE215A"/>
    <w:rsid w:val="00F555D1"/>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F555D1"/>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F555D1"/>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F555D1"/>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qFormat/>
    <w:rsid w:val="00F555D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555D1"/>
    <w:pPr>
      <w:spacing w:after="0" w:line="240" w:lineRule="exact"/>
      <w:jc w:val="both"/>
    </w:pPr>
    <w:rPr>
      <w:vertAlign w:val="superscript"/>
    </w:rPr>
  </w:style>
  <w:style w:type="character" w:customStyle="1" w:styleId="NormalWebChar1">
    <w:name w:val="Normal (Web) Char1"/>
    <w:aliases w:val="Normal (Web) Char Char,Обычный (веб)1 Char,Обычный (веб) Знак Char,Обычный (веб) Знак1 Char,Обычный (веб) Знак Знак Char, Char Char Char Char,Char Char Char Char, Char Char Char1,Char Cha Char,Char Char Char1,Char Char1"/>
    <w:link w:val="NormalWeb"/>
    <w:uiPriority w:val="99"/>
    <w:rsid w:val="00F555D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F555D1"/>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F555D1"/>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F555D1"/>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qFormat/>
    <w:rsid w:val="00F555D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555D1"/>
    <w:pPr>
      <w:spacing w:after="0" w:line="240" w:lineRule="exact"/>
      <w:jc w:val="both"/>
    </w:pPr>
    <w:rPr>
      <w:vertAlign w:val="superscript"/>
    </w:rPr>
  </w:style>
  <w:style w:type="character" w:customStyle="1" w:styleId="NormalWebChar1">
    <w:name w:val="Normal (Web) Char1"/>
    <w:aliases w:val="Normal (Web) Char Char,Обычный (веб)1 Char,Обычный (веб) Знак Char,Обычный (веб) Знак1 Char,Обычный (веб) Знак Знак Char, Char Char Char Char,Char Char Char Char, Char Char Char1,Char Cha Char,Char Char Char1,Char Char1"/>
    <w:link w:val="NormalWeb"/>
    <w:uiPriority w:val="99"/>
    <w:rsid w:val="00F555D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7508</Words>
  <Characters>42799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2024-12-26T01:54:00Z</dcterms:created>
  <dcterms:modified xsi:type="dcterms:W3CDTF">2024-12-30T07:14:00Z</dcterms:modified>
</cp:coreProperties>
</file>