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F4" w:rsidRPr="00367BF4" w:rsidRDefault="00367BF4" w:rsidP="00367BF4">
      <w:pPr>
        <w:spacing w:after="0" w:line="240" w:lineRule="auto"/>
        <w:ind w:firstLine="567"/>
        <w:jc w:val="center"/>
        <w:rPr>
          <w:rFonts w:eastAsia="Times New Roman" w:cs="Times New Roman"/>
          <w:b/>
          <w:sz w:val="32"/>
          <w:szCs w:val="32"/>
        </w:rPr>
      </w:pPr>
      <w:r>
        <w:rPr>
          <w:rFonts w:eastAsia="Times New Roman" w:cs="Times New Roman"/>
          <w:b/>
          <w:sz w:val="32"/>
          <w:szCs w:val="32"/>
        </w:rPr>
        <w:t>BẢN TIN</w:t>
      </w:r>
      <w:r w:rsidRPr="00367BF4">
        <w:rPr>
          <w:rFonts w:eastAsia="Times New Roman" w:cs="Times New Roman"/>
          <w:b/>
          <w:sz w:val="32"/>
          <w:szCs w:val="32"/>
        </w:rPr>
        <w:t xml:space="preserve"> THÔNG BÁO NỘI BỘ</w:t>
      </w:r>
    </w:p>
    <w:p w:rsidR="00367BF4" w:rsidRPr="00367BF4" w:rsidRDefault="00367BF4" w:rsidP="00367BF4">
      <w:pPr>
        <w:spacing w:after="0" w:line="240" w:lineRule="auto"/>
        <w:ind w:firstLine="567"/>
        <w:jc w:val="center"/>
        <w:rPr>
          <w:rFonts w:eastAsia="Times New Roman" w:cs="Times New Roman"/>
          <w:b/>
          <w:sz w:val="32"/>
          <w:szCs w:val="32"/>
        </w:rPr>
      </w:pPr>
      <w:r w:rsidRPr="00367BF4">
        <w:rPr>
          <w:rFonts w:eastAsia="Times New Roman" w:cs="Times New Roman"/>
          <w:b/>
          <w:sz w:val="32"/>
          <w:szCs w:val="32"/>
        </w:rPr>
        <w:t>phục vụ SHCB tháng 08-2022 của Ban Tuyên giáo TW</w:t>
      </w:r>
    </w:p>
    <w:p w:rsidR="00367BF4" w:rsidRPr="00367BF4" w:rsidRDefault="00367BF4" w:rsidP="00367BF4">
      <w:pPr>
        <w:spacing w:after="0" w:line="240" w:lineRule="auto"/>
        <w:ind w:firstLine="567"/>
        <w:jc w:val="center"/>
        <w:rPr>
          <w:rFonts w:eastAsia="Times New Roman" w:cs="Times New Roman"/>
          <w:b/>
          <w:sz w:val="32"/>
          <w:szCs w:val="32"/>
        </w:rPr>
      </w:pPr>
      <w:r w:rsidRPr="00367BF4">
        <w:rPr>
          <w:rFonts w:eastAsia="Times New Roman" w:cs="Times New Roman"/>
          <w:b/>
          <w:sz w:val="32"/>
          <w:szCs w:val="32"/>
        </w:rPr>
        <w:t>phần “</w:t>
      </w:r>
      <w:r w:rsidRPr="00367BF4">
        <w:rPr>
          <w:rFonts w:eastAsia="Times New Roman" w:cs="Times New Roman"/>
          <w:b/>
          <w:i/>
          <w:sz w:val="32"/>
          <w:szCs w:val="32"/>
        </w:rPr>
        <w:t>Thời sự thế giới</w:t>
      </w:r>
      <w:r w:rsidRPr="00367BF4">
        <w:rPr>
          <w:rFonts w:eastAsia="Times New Roman" w:cs="Times New Roman"/>
          <w:b/>
          <w:sz w:val="32"/>
          <w:szCs w:val="32"/>
        </w:rPr>
        <w:t>” và “</w:t>
      </w:r>
      <w:r w:rsidRPr="00367BF4">
        <w:rPr>
          <w:rFonts w:eastAsia="Times New Roman" w:cs="Times New Roman"/>
          <w:b/>
          <w:i/>
          <w:sz w:val="32"/>
          <w:szCs w:val="32"/>
        </w:rPr>
        <w:t>Thời sự trong nước</w:t>
      </w:r>
      <w:r w:rsidRPr="00367BF4">
        <w:rPr>
          <w:rFonts w:eastAsia="Times New Roman" w:cs="Times New Roman"/>
          <w:b/>
          <w:sz w:val="32"/>
          <w:szCs w:val="32"/>
        </w:rPr>
        <w:t>”</w:t>
      </w:r>
    </w:p>
    <w:p w:rsidR="00367BF4" w:rsidRPr="00367BF4" w:rsidRDefault="00367BF4" w:rsidP="00367BF4">
      <w:pPr>
        <w:spacing w:after="0" w:line="240" w:lineRule="auto"/>
        <w:ind w:firstLine="567"/>
        <w:jc w:val="center"/>
        <w:rPr>
          <w:rFonts w:eastAsia="Times New Roman" w:cs="Times New Roman"/>
          <w:b/>
          <w:sz w:val="32"/>
          <w:szCs w:val="32"/>
        </w:rPr>
      </w:pPr>
      <w:r w:rsidRPr="00367BF4">
        <w:rPr>
          <w:rFonts w:eastAsia="Times New Roman" w:cs="Times New Roman"/>
          <w:b/>
          <w:sz w:val="32"/>
          <w:szCs w:val="32"/>
        </w:rPr>
        <w:t>-----</w:t>
      </w:r>
    </w:p>
    <w:p w:rsidR="00367BF4" w:rsidRPr="00367BF4" w:rsidRDefault="00367BF4" w:rsidP="00367BF4">
      <w:pPr>
        <w:spacing w:after="0" w:line="240" w:lineRule="auto"/>
        <w:ind w:firstLine="567"/>
        <w:jc w:val="both"/>
        <w:rPr>
          <w:rFonts w:eastAsia="Times New Roman" w:cs="Times New Roman"/>
          <w:szCs w:val="28"/>
        </w:rPr>
      </w:pPr>
    </w:p>
    <w:p w:rsidR="00367BF4" w:rsidRPr="00367BF4" w:rsidRDefault="00367BF4" w:rsidP="00367BF4">
      <w:pPr>
        <w:spacing w:after="0" w:line="240" w:lineRule="auto"/>
        <w:ind w:firstLine="567"/>
        <w:jc w:val="both"/>
        <w:rPr>
          <w:rFonts w:eastAsia="Times New Roman" w:cs="Times New Roman"/>
          <w:b/>
          <w:szCs w:val="28"/>
        </w:rPr>
      </w:pPr>
      <w:r w:rsidRPr="00367BF4">
        <w:rPr>
          <w:rFonts w:eastAsia="Times New Roman" w:cs="Times New Roman"/>
          <w:b/>
          <w:szCs w:val="28"/>
        </w:rPr>
        <w:t>I- THÔNG TIN THỜI SỰ</w:t>
      </w:r>
      <w:r w:rsidRPr="00367BF4">
        <w:rPr>
          <w:rFonts w:eastAsia="Times New Roman" w:cs="Times New Roman"/>
          <w:b/>
          <w:szCs w:val="28"/>
        </w:rPr>
        <w:t xml:space="preserve"> THẾ GIỚI</w:t>
      </w:r>
    </w:p>
    <w:p w:rsidR="00367BF4" w:rsidRPr="00367BF4" w:rsidRDefault="00367BF4" w:rsidP="00367BF4">
      <w:pPr>
        <w:spacing w:after="0" w:line="240" w:lineRule="auto"/>
        <w:ind w:firstLine="567"/>
        <w:jc w:val="both"/>
        <w:rPr>
          <w:rFonts w:eastAsia="Times New Roman" w:cs="Times New Roman"/>
          <w:b/>
          <w:bCs/>
          <w:szCs w:val="28"/>
        </w:rPr>
      </w:pPr>
      <w:bookmarkStart w:id="0" w:name="_Hlk104188463"/>
      <w:r w:rsidRPr="00367BF4">
        <w:rPr>
          <w:rFonts w:eastAsia="Times New Roman" w:cs="Times New Roman"/>
          <w:b/>
          <w:szCs w:val="28"/>
        </w:rPr>
        <w:t>1.</w:t>
      </w:r>
      <w:r w:rsidRPr="00367BF4">
        <w:rPr>
          <w:rFonts w:eastAsia="Times New Roman" w:cs="Times New Roman"/>
          <w:b/>
          <w:bCs/>
          <w:szCs w:val="28"/>
        </w:rPr>
        <w:t xml:space="preserve"> Tình hình, tác động và cách thức phản ứng đối với vấn đề lạm phát trên toàn cầu hiện nay </w:t>
      </w:r>
    </w:p>
    <w:p w:rsidR="00367BF4" w:rsidRPr="00367BF4" w:rsidRDefault="00367BF4" w:rsidP="00367BF4">
      <w:pPr>
        <w:spacing w:after="0" w:line="240" w:lineRule="auto"/>
        <w:ind w:firstLine="567"/>
        <w:jc w:val="both"/>
        <w:rPr>
          <w:rFonts w:eastAsia="Times New Roman" w:cs="Times New Roman"/>
          <w:i/>
          <w:iCs/>
          <w:szCs w:val="28"/>
        </w:rPr>
      </w:pPr>
      <w:r w:rsidRPr="00367BF4">
        <w:rPr>
          <w:rFonts w:eastAsia="Times New Roman" w:cs="Times New Roman"/>
          <w:i/>
          <w:iCs/>
          <w:szCs w:val="28"/>
        </w:rPr>
        <w:t>Đầu năm 2022, trong các phát biểu của các nhà lãnh đạo thế giới đều chia sẻ thông điệp về việc hồi phục và phát triển kinh tế là một trong những mục tiêu quan trọng và cấp thiết nhất. Tuy nhiên, những hậu quả của hai năm diễn ra đại dịch Covid-19 cùng với cuộc xung đột Nga - Ukraine thời gian qua là những nguyên nhân trực tiếp đẩy thế giới bước vào thời kỳ lạm phát kinh tế toàn cầu.</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Năm 2021, nền kinh tế thế giới dần phục hồi ở mức tăng trưởng 5,9% nhờ các động lực chính như: Dịch bệnh Covid-19 bước đầu được kiểm soát, hiệu quả của các gói kích thích kinh tế lớn của các quốc gia phát huy tác dụng và nhu cầu tiêu dùng gia tăng trở lại. Tuy nhiên, chính những động lực phát triển này cũng là nguyên nhân dẫn tới tình trạng lạm phát cao tại các quốc gia. Tỷ lệ lạm phát của nền kinh tế thế giới năm 2021 ở mức 4,3%, cao vượt trội so với con số xấp xỉ 3,2% của tỷ lệ lạm phát trung bình trong cả thời kỳ 2015 - 2020</w:t>
      </w:r>
      <w:r w:rsidRPr="00367BF4">
        <w:rPr>
          <w:rFonts w:eastAsia="Times New Roman" w:cs="Times New Roman"/>
          <w:szCs w:val="28"/>
          <w:vertAlign w:val="superscript"/>
        </w:rPr>
        <w:footnoteReference w:id="1"/>
      </w:r>
      <w:r w:rsidRPr="00367BF4">
        <w:rPr>
          <w:rFonts w:eastAsia="Times New Roman" w:cs="Times New Roman"/>
          <w:szCs w:val="28"/>
        </w:rPr>
        <w:t>. Nhiều chuyên gia cho rằng, nguyên nhân của tình trạng này bắt nguồn từ sự phục hồi không đồng đều của các nền kinh tế trên phạm vi toàn cầu; tình trạng gián đoạn chuỗi cung ứng dẫn tới việc thu hẹp sản xuất khiến giá cả hàng hóa đầu vào tăng nhanh, đặc biệt là giá năng lượng và chí phí vận tải.</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Bước sang năm 2022, tình trạng lạm phát được dự báo sẽ tiếp tục tăng, đạt mức trung bình khoảng 3,9% ở các nền kinh tế phát triển và khoảng 5,9% ở các thị trường mới nổi, các nước đang phát triển. Tình trạng này được dự báo không kéo dài và sẽ suy giảm vào năm 2023 khi các tác động tiêu cực của đại dịch Covid-19 được giảm thiểu. Tuy nhiên, sự kiện Nga phát động chiến dịch quân sự đặc biệt tại Ukraine đã tác động đáng kể tới triển vọng kinh tế và tình trạng lạm phát. </w:t>
      </w:r>
      <w:r w:rsidRPr="00367BF4">
        <w:rPr>
          <w:rFonts w:eastAsia="Times New Roman" w:cs="Times New Roman"/>
          <w:i/>
          <w:iCs/>
          <w:szCs w:val="28"/>
        </w:rPr>
        <w:t>Thứ nhất</w:t>
      </w:r>
      <w:r w:rsidRPr="00367BF4">
        <w:rPr>
          <w:rFonts w:eastAsia="Times New Roman" w:cs="Times New Roman"/>
          <w:szCs w:val="28"/>
        </w:rPr>
        <w:t xml:space="preserve">, xung đột Nga - Ukraine đã và đang khiến cuộc khủng hoảng năng lượng toàn cầu trầm trọng hơn do Nga là nhà sản xuất và xuất khẩu năng lượng hàng đầu của thế giới. </w:t>
      </w:r>
      <w:r w:rsidRPr="00367BF4">
        <w:rPr>
          <w:rFonts w:eastAsia="Times New Roman" w:cs="Times New Roman"/>
          <w:i/>
          <w:iCs/>
          <w:szCs w:val="28"/>
        </w:rPr>
        <w:t>Thứ hai</w:t>
      </w:r>
      <w:r w:rsidRPr="00367BF4">
        <w:rPr>
          <w:rFonts w:eastAsia="Times New Roman" w:cs="Times New Roman"/>
          <w:szCs w:val="28"/>
        </w:rPr>
        <w:t xml:space="preserve">, cuộc chiến Nga - Ukraine cũng ảnh hưởng tới chuỗi cung ứng toàn cầu, đặc biệt là chuỗi cung ứng tại khu vực châu Âu tiếp tục bị gián đoạn do Hoa Kỳ, EU và các nền kinh tế khác đã đưa ra hàng loạt biện pháp trừng phạt kinh tế Nga. Bên cạnh đó, vận tải hàng không và đường biển đối với những tuyến đường qua Nga và Ukraine cũng chịu tác động nghiêm trọng, khiến chi phí và thời gian vận chuyển hàng hoá tăng mạnh. </w:t>
      </w:r>
    </w:p>
    <w:p w:rsidR="00367BF4" w:rsidRPr="00367BF4" w:rsidRDefault="00367BF4" w:rsidP="00367BF4">
      <w:pPr>
        <w:spacing w:after="0" w:line="240" w:lineRule="auto"/>
        <w:ind w:firstLine="567"/>
        <w:jc w:val="both"/>
        <w:rPr>
          <w:rFonts w:eastAsia="Times New Roman" w:cs="Times New Roman"/>
          <w:spacing w:val="4"/>
          <w:szCs w:val="28"/>
        </w:rPr>
      </w:pPr>
      <w:r w:rsidRPr="00367BF4">
        <w:rPr>
          <w:rFonts w:eastAsia="Times New Roman" w:cs="Times New Roman"/>
          <w:i/>
          <w:iCs/>
          <w:spacing w:val="4"/>
          <w:szCs w:val="28"/>
        </w:rPr>
        <w:lastRenderedPageBreak/>
        <w:t>Tại Hoa Kỳ</w:t>
      </w:r>
      <w:r w:rsidRPr="00367BF4">
        <w:rPr>
          <w:rFonts w:eastAsia="Times New Roman" w:cs="Times New Roman"/>
          <w:spacing w:val="4"/>
          <w:szCs w:val="28"/>
        </w:rPr>
        <w:t xml:space="preserve">, theo dữ liệu chính thức được Bộ Lao động Hoa Kỳ công bố ngày 12/4/2022, chỉ số giá tiêu dùng của nước này đã tăng lên mức cao nhất kể từ năm 1981. Cụ thể, chỉ số giá tiêu dùng (CPI) tăng 8,5% so với một năm trước đó, cao hơn mức dự báo 8,4% của Dow Jones. Đây là mức tăng giá chưa từng thấy kể từ thời kỳ lạm phát đình trệ diễn ra vào cuối những năm 1970, đầu thập niên 1980. Lạm phát cơ bản, tức không tính tới giá lương thực và năng lượng, tăng 6,5%. Đây là mức cao nhất kể từ tháng 8/1982. </w:t>
      </w:r>
      <w:r w:rsidRPr="00367BF4">
        <w:rPr>
          <w:rFonts w:eastAsia="Times New Roman" w:cs="Times New Roman"/>
          <w:i/>
          <w:iCs/>
          <w:spacing w:val="4"/>
          <w:szCs w:val="28"/>
        </w:rPr>
        <w:t>Tại châu Âu</w:t>
      </w:r>
      <w:r w:rsidRPr="00367BF4">
        <w:rPr>
          <w:rFonts w:eastAsia="Times New Roman" w:cs="Times New Roman"/>
          <w:spacing w:val="4"/>
          <w:szCs w:val="28"/>
        </w:rPr>
        <w:t>, khu vực đồng tiền chung </w:t>
      </w:r>
      <w:hyperlink r:id="rId8" w:tooltip="châu Âu" w:history="1">
        <w:r w:rsidRPr="00367BF4">
          <w:rPr>
            <w:rFonts w:eastAsia="Times New Roman" w:cs="Times New Roman"/>
            <w:spacing w:val="4"/>
            <w:szCs w:val="28"/>
          </w:rPr>
          <w:t>châu Âu</w:t>
        </w:r>
      </w:hyperlink>
      <w:r w:rsidRPr="00367BF4">
        <w:rPr>
          <w:rFonts w:eastAsia="Times New Roman" w:cs="Times New Roman"/>
          <w:spacing w:val="4"/>
          <w:szCs w:val="28"/>
        </w:rPr>
        <w:t xml:space="preserve"> (Eurozone), lạm phát cũng tăng lên 7,5% vào tháng 3/2022. Lạm phát của Vương quốc Anh trong tháng 3/2022 đã tăng lên mức 7%, mức cao nhất kể từ tháng 3/1992 và vượt xa mức 6,2% trong tháng 02/2022. </w:t>
      </w:r>
      <w:r w:rsidRPr="00367BF4">
        <w:rPr>
          <w:rFonts w:eastAsia="Times New Roman" w:cs="Times New Roman"/>
          <w:i/>
          <w:iCs/>
          <w:spacing w:val="4"/>
          <w:szCs w:val="28"/>
        </w:rPr>
        <w:t>Tại châu Á</w:t>
      </w:r>
      <w:r w:rsidRPr="00367BF4">
        <w:rPr>
          <w:rFonts w:eastAsia="Times New Roman" w:cs="Times New Roman"/>
          <w:spacing w:val="4"/>
          <w:szCs w:val="28"/>
        </w:rPr>
        <w:t>, bình quân 5 tháng đầu năm 2022, lạm phát của Thái Lan tăng 5,2%; Hàn Quốc tăng 4,3%; Indonesia tăng 2,8%; Malaysia tăng 2,4%, tương đương với Việt Nam; Nhật Bản và Trung Quốc cùng tăng 1,5%. Lào là một trong những quốc gia có tỷ lệ lạm phát cao nhất ở Đông Nam Á, theo đó, tỷ lệ lạm phát tại Lào trong tháng 6/2022 đã tăng 23,6% so với cùng kỳ năm ngoái, mức cao nhất trong 22 năm qua. Theo dự báo của Consensus Economics đưa ra hồi tháng 5/2022, đến cuối năm 2022, lạm phát toàn cầu sẽ ở mức khoảng 6,5%, cao hơn 1,5 lần so với dự báo tháng 2 (4%) được đưa ra trước khi bắt đầu cuộc xung đột quân sự ở Ukraine.</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Lạm phát thế giới tăng cao là rủi ro tiềm ẩn đối với sự phục hồi của tăng trưởng kinh tế thế giới sau 2 năm chịu ảnh hưởng bởi đại dịch Covid-19, vì lạm phát ở mức cao sẽ tạo ra bất ổn kinh tế vĩ mô, cản trở tăng trưởng bền vững nền kinh tế. Kiểm soát lạm phát là một trong những mục tiêu quan trọng của các chính phủ. Theo đó, các ngân hàng trung ương đã bắt đầu tiến hành các đợt tăng lãi suất nhằm mục tiêu kiềm chế lạm phát gia tăng. Để “hạ nhiệt” lạm phát, tháng 3/2022, Cục Dự trữ Liên bang Mỹ (FED) đã tăng lãi suất lần đầu tiên kể từ năm 2018 và dự kiến sẽ tiếp tục có thêm các đợt nâng lãi suất khác trong năm nay và năm 2023. Động thái này của FED sẽ thu hút dòng vốn hướng về đồng USD và đẩy giá USD lên cao hơn. Ngân hàng Trung ương Anh (BoE) đã nâng lãi suất trong 3 cuộc họp chính sách tiền tệ liên tiếp từ mức thấp kỷ lục 0,1% lên 0,75%. Ngân hàng Trung ương châu Âu (ECB) đã đưa ra kế hoạch chấm dứt chương trình mua trái phiếu mở rộng để mở đường cho việc tăng lãi suất. Ngân hàng Trung ương Australia ngày 05/7/2022 đã quyết định điều chỉnh mức lãi suất cho vay lên 1,35%, tức tăng 0,5 điểm phần trăm so với mức cũ trong nỗ lực kiềm chế lạm phát tăng cao hiện nay. Mức tăng 0,5% đánh dấu tháng thứ 3 liên tiếp Ngân hàng Dự trữ Australia (RBA) nâng lãi suất từ mức “khẩn cấp” 0,1% được duy trì trong suốt đại dịch Covid-19. Bên cạnh các chính sách thắt chặt tiền tệ, các nước cũng tiến hành các biện pháp giảm thuế, phí nhằm giảm áp lực tăng chi phí đầu vào cho các hoạt động sản xuất, kinh doanh và kích thích hoạt động sản xuất. Chính phủ Pháp đề xuất gói hỗ trợ 20 tỷ Euro nhằm kiềm chế lạm phát với việc tăng 4% cho phúc lợi và trợ cấp hưu trí, </w:t>
      </w:r>
      <w:r w:rsidRPr="00367BF4">
        <w:rPr>
          <w:rFonts w:eastAsia="Times New Roman" w:cs="Times New Roman"/>
          <w:szCs w:val="28"/>
        </w:rPr>
        <w:lastRenderedPageBreak/>
        <w:t>tăng lương công chức thêm 3,5% và kéo dài thời gian trợ giá năng lượng. Tại châu Á, Chính phủ Malaysia sẽ mở một gói hỗ trợ cao nhất trong lịch sử nước này, tương đương với 70 tỷ ringgit (khoảng 370.000 tỷ đồng) để kiềm chế giá xăng, dầu, khí đốt hóa lỏng cũng như giá dầu ăn, bột mì và điện. Bộ trưởng Thương mại, Công nghiệp và Năng lượng Hàn Quốc Lee Chang-yang cam kết thực hiện các biện pháp nhằm củng cố năng lực cạnh tranh xuất khẩu và khai thác tối đa năng lượng hạt nhân của nước này, nhằm đối phó với các thách thức kinh tế do lạm phát và chi phí nhiên liệu tăng cao. Đồng thời, thúc đẩy các sáng kiến về thuế, khuyến khích đơn giản hóa các quy định nhằm thúc đẩy đầu tư.</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Bất chấp tình hình kinh tế thế giới còn nhiều bất ổn, nhiều chuyên gia quốc tế vẫn đưa ra cái nhìn lạc quan về triển vọng phục hồi khi chuỗi cung ứng sẽ dần trở lại bình thường, hàng hóa lưu kho tăng lên và giá cả sẽ giảm. Ngoài ra, các nền kinh tế mới nổi sẽ là yếu tố quan trọng để làm giảm bớt các nút thắt trong chuỗi cung ứng.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Tại Việt Nam, ngày 04/7/2022, Thủ tướng Chính phủ Phạm Minh Chính chủ trì Hội nghị trực tuyến Chính phủ với các địa phương và Phiên họp Chính phủ thường kỳ tháng 6/2022 về tình hình kinh tế - xã hội tháng 6 và 6 tháng đầu năm 2022. Trước tình hình quốc tế và trong nước, Thủ tướng Chính phủ yêu cầu các bộ, ngành, địa phương ưu tiên ổn định kinh tế vĩ mô, kiểm soát lạm phát, bảo đảm các cân đối lớn của nền kinh tế; coi đây là một nhiệm vụ trọng tâm, cấp bách của các cấp, các ngành, các địa phương trong điều kiện hiện nay. Theo đó, các bộ, ngành, địa phương tiếp tục thực hiện chính sách tiền tệ linh hoạt, an toàn, thận trọng; thực hiện chính sách tài khóa mở rộng hợp lý, bảo đảm hiệu quả; chủ động rà soát, đề xuất cắt giảm phù hợp các loại thuế, phí, lệ phí, kịp thời báo cáo cấp có thẩm quyền phương án điều chỉnh các loại thuế, phí đối với xăng dầu; bảo đảm phát triển ổn định lành mạnh, hiệu quả, an ninh, an toàn thị trường chứng khoán, trái phiếu doanh nghiệp; quản lý chặt chẽ giá cả, thị trường, phòng, chống đầu cơ, buôn lậu, nhất là phòng, chống buôn lậu và tình trạng găm hàng, đầu cơ, tăng giá; bảo đảm vững chắc nguồn cung năng lượng; bảo đảm an ninh lương thực.</w:t>
      </w:r>
    </w:p>
    <w:p w:rsidR="00367BF4" w:rsidRPr="00367BF4" w:rsidRDefault="00367BF4" w:rsidP="00367BF4">
      <w:pPr>
        <w:spacing w:after="0" w:line="240" w:lineRule="auto"/>
        <w:ind w:firstLine="567"/>
        <w:jc w:val="both"/>
        <w:rPr>
          <w:rFonts w:eastAsia="Times New Roman" w:cs="Times New Roman"/>
          <w:b/>
          <w:bCs/>
          <w:szCs w:val="28"/>
        </w:rPr>
      </w:pPr>
      <w:r w:rsidRPr="00367BF4">
        <w:rPr>
          <w:rFonts w:eastAsia="Times New Roman" w:cs="Times New Roman"/>
          <w:b/>
          <w:bCs/>
          <w:szCs w:val="28"/>
        </w:rPr>
        <w:t xml:space="preserve">2. Một số tình hình thế giới thời gian gần đây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b/>
          <w:bCs/>
          <w:i/>
          <w:szCs w:val="28"/>
        </w:rPr>
        <w:t>- Hội nghị Thượng đỉnh Nhóm các nước công nghiệp phát triển G7 diễn ra từ ngày 26 - 28/6/2022 tại Đức.</w:t>
      </w:r>
      <w:r w:rsidRPr="00367BF4">
        <w:rPr>
          <w:rFonts w:eastAsia="Times New Roman" w:cs="Times New Roman"/>
          <w:b/>
          <w:bCs/>
          <w:szCs w:val="28"/>
        </w:rPr>
        <w:t xml:space="preserve"> </w:t>
      </w:r>
      <w:r w:rsidRPr="00367BF4">
        <w:rPr>
          <w:rFonts w:eastAsia="Times New Roman" w:cs="Times New Roman"/>
          <w:szCs w:val="28"/>
        </w:rPr>
        <w:t xml:space="preserve">Các nước phương Tây khẳng định tiếp tục hỗ trợ Ukraine và thông qua nhiều biện pháp trừng phạt mới đối với Nga. Trong đó, đáng chú ý là quyết định áp đặt lệnh cấm nhập khẩu vàng từ Nga và các lệnh trừng phạt mới đối với ngành công nghiệp quốc phòng của nước này. Đồng thời, đạt tiến bộ trong việc đặt ra mức giá trần toàn cầu đối với dầu mỏ nhập khẩu từ Nga. Các nhà lãnh đạo của G7 đã nhất trí về việc thành lập một “câu lạc bộ khí hậu” nhằm tăng cường và mở rộng hợp tác trong cuộc chiến chống lại sự nóng lên toàn cầu. Bên cạnh đó, các nước G7 cũng khẳng định yêu sách của Trung Quốc tại Biển Đông là không có cơ sở pháp lý, kêu gọi Trung Quốc tuân thủ phán quyết của Tòa Trọng tài </w:t>
      </w:r>
      <w:r w:rsidRPr="00367BF4">
        <w:rPr>
          <w:rFonts w:eastAsia="Times New Roman" w:cs="Times New Roman"/>
          <w:szCs w:val="28"/>
        </w:rPr>
        <w:lastRenderedPageBreak/>
        <w:t xml:space="preserve">(PCA) năm 2016; đồng thời kêu gọi Trung Quốc phản đối cuộc xung đột của Nga tại Ukraine. </w:t>
      </w:r>
    </w:p>
    <w:p w:rsidR="00367BF4" w:rsidRPr="00367BF4" w:rsidRDefault="00367BF4" w:rsidP="00367BF4">
      <w:pPr>
        <w:spacing w:after="0" w:line="240" w:lineRule="auto"/>
        <w:ind w:firstLine="567"/>
        <w:jc w:val="both"/>
        <w:rPr>
          <w:rFonts w:eastAsia="Times New Roman" w:cs="Times New Roman"/>
          <w:spacing w:val="4"/>
          <w:szCs w:val="28"/>
        </w:rPr>
      </w:pPr>
      <w:r w:rsidRPr="00367BF4">
        <w:rPr>
          <w:rFonts w:eastAsia="Times New Roman" w:cs="Times New Roman"/>
          <w:b/>
          <w:bCs/>
          <w:i/>
          <w:spacing w:val="4"/>
          <w:szCs w:val="28"/>
        </w:rPr>
        <w:t>- Hội nghị Thượng đỉnh NATO diễn ra từ ngày 28 - 30/6/2022 tại Thủ đô Madrid, Tây Ban Nha.</w:t>
      </w:r>
      <w:r w:rsidRPr="00367BF4">
        <w:rPr>
          <w:rFonts w:eastAsia="Times New Roman" w:cs="Times New Roman"/>
          <w:b/>
          <w:bCs/>
          <w:spacing w:val="4"/>
          <w:szCs w:val="28"/>
        </w:rPr>
        <w:t xml:space="preserve"> </w:t>
      </w:r>
      <w:r w:rsidRPr="00367BF4">
        <w:rPr>
          <w:rFonts w:eastAsia="Times New Roman" w:cs="Times New Roman"/>
          <w:spacing w:val="4"/>
          <w:szCs w:val="28"/>
        </w:rPr>
        <w:t xml:space="preserve">Lần đầu tiên, Hội nghị NATO có sự tham gia của lãnh đạo các nước Nhật Bản, Hàn Quốc, Australia, New Zealand. Hội nghị đã thông qua Tuyên bố cấp cao Madrid và Khái niệm Chiến lược mới 2022. Trong đó có 03 nhiệm vụ trọng yếu gồm răn đe và phòng vệ, ngăn chặn và quản lý khủng hoảng, an ninh tập thể. Tại Hội nghị, các nước NATO cũng khẳng định Nga là mối đe dọa nghiêm trọng và trực tiếp và Trung Quốc là thách thức mang tính hệ thống. NATO chính thức mời Phần Lan và Thụy Điển gia nhập, nâng tổng số thành viên của tổ chức này lên 32 nước.  </w:t>
      </w:r>
    </w:p>
    <w:p w:rsidR="00367BF4" w:rsidRPr="00367BF4" w:rsidRDefault="00367BF4" w:rsidP="00367BF4">
      <w:pPr>
        <w:spacing w:after="0" w:line="240" w:lineRule="auto"/>
        <w:ind w:firstLine="567"/>
        <w:jc w:val="both"/>
        <w:rPr>
          <w:rFonts w:eastAsia="Times New Roman" w:cs="Times New Roman"/>
          <w:b/>
          <w:szCs w:val="28"/>
        </w:rPr>
      </w:pPr>
      <w:r w:rsidRPr="00367BF4">
        <w:rPr>
          <w:rFonts w:eastAsia="Times New Roman" w:cs="Times New Roman"/>
          <w:b/>
          <w:szCs w:val="28"/>
        </w:rPr>
        <w:t xml:space="preserve">3. Kết quả bầu cử Hội đồng xã/phường ở Campuchia năm 2022 – Tác động và một số dự báo </w:t>
      </w:r>
    </w:p>
    <w:p w:rsidR="00367BF4" w:rsidRPr="00367BF4" w:rsidRDefault="00367BF4" w:rsidP="00367BF4">
      <w:pPr>
        <w:spacing w:after="0" w:line="240" w:lineRule="auto"/>
        <w:ind w:firstLine="567"/>
        <w:jc w:val="both"/>
        <w:rPr>
          <w:rFonts w:eastAsia="Times New Roman" w:cs="Times New Roman"/>
          <w:i/>
          <w:iCs/>
          <w:szCs w:val="28"/>
        </w:rPr>
      </w:pPr>
      <w:r w:rsidRPr="00367BF4">
        <w:rPr>
          <w:rFonts w:eastAsia="Times New Roman" w:cs="Times New Roman"/>
          <w:i/>
          <w:iCs/>
          <w:szCs w:val="28"/>
        </w:rPr>
        <w:t>Ngày 26/6/2022, Ủy ban Bầu cử quốc gia Campuchia (NEC) đã công bố kết quả chính thức cuộc bầu cử Hội đồng xã/phường nhiệm kỳ V. Có 9/17 chính đảng tham gia cuộc bầu cử Hội đồng xã, phường giành được ghế. Trong đó, Đảng Nhân dân Campuchia (CPP) cầm quyền giành được sự tín nhiệm của cử tri nhiều nhất.</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 Theo Ủy ban Bầu cử quốc gia (NEC) Campuchia, CPP đã giành được 9.376 ghế, tương đương 80,6%, trong khi Đảng Ánh nến (CP) đối lập chính được 2.198 ghế, tương đương 18,9%. Có 17 chính đảng tại Campuchia đã tham gia ứng cử Hội đồng xã/phường lần thứ 5 gồm: Đảng CPP cầm quyền, Đảng CP, Đảng FUNCINPEC, Đảng Khmer Quốc gia đoàn kết (KNUP), Đảng Yêu quốc gia Campuchia (CNLP), Đảng Dân tộc Campuchia (CNP), Đảng Thanh niên Campuchia (CYP), Đảng Cải cách Campuchia (CRP), Đảng Ý chí Khmer (KWP), Đảng Chủ nghĩa Campuchia (KP), Đảng Dân chủ Cơ sở (GDP), Đảng Ekpheap Cheat Khmer (ECKP), Đảng Tổ ong Xã hội dân chủ (BSDP), Đảng Dân chủ Nhân dân bản địa (CIPDP), Đảng Đoàn kết Khmer (KUP), Đảng Reaksmey Khemara và Đảng Khmer Phát triển kinh tế (KEDP).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Ủy viên Hội đồng xã, phường đóng vai trò quan trọng trong việc triển khai thực hiện chính sách, công tác xây dựng hạ tầng, các hoạt động phục vụ đời sống xã hội tại địa phương. Họ được coi là đại cử tri cho các cuộc bầu cử Hội đồng thủ đô, tỉnh, thành phố, quận, huyện và Thượng nghị viện tại Campuchia.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Trước khi diễn ra cuộc bầu cử, CPP được dư luận dự báo là chính đảng sẽ giành được chiến thắng. Dưới sự lãnh đạo của CPP, Campuchia đạt mức tăng trưởng kinh tế cao trong nhiều năm liên tiếp. Đặc biệt, trong cuộc chiến chống đại dịch Covid-19, đảng cầm quyền đã nhanh chóng đưa ra quyết định tiêm vaccine trên diện rộng, sớm đạt được miễn dịch cộng đồng, dẫn tới việc mở cửa lại đất nước từ tháng 11/2021.</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Số cử tri đi bầu là 7,39 triệu, chiếm 80,3% trong tổng số 9,2 triệu cử tri đủ tư cách. Tỷ lệ cử tri đi bầu đợt này thấp hơn kỳ bầu cử Hội đồng xã/phường 5 năm </w:t>
      </w:r>
      <w:r w:rsidRPr="00367BF4">
        <w:rPr>
          <w:rFonts w:eastAsia="Times New Roman" w:cs="Times New Roman"/>
          <w:szCs w:val="28"/>
        </w:rPr>
        <w:lastRenderedPageBreak/>
        <w:t>trước khi 89,52% trên tổng số hơn 7,8 triệu cử tri đăng ký đã đi bỏ phiếu chọn ứng cử viên phù hợp.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Cuộc bầu cử diễn ra dưới sự giám sát của khoảng 75.000 quan sát viên trong nước và quốc tế. Có 775 nhà báo trong nước và 39 phóng viên nước ngoài đăng ký thông tin về sự kiện này. Cuộc bầu cử Hội đồng xã/phường năm 2022 của Campuchia được các quan sát viên trong nước và quốc tế công nhận là cuộc bầu cử tự do, công bằng, trung lập, hòa bình và không xảy ra bạo lực.</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Trong phát biểu tại Lễ kỷ niệm 71 năm Ngày thành lập Đảng Nhân dân Campcuhia (CPP) ngày 28/6/2022, Thủ tướng Campuchia Hun Sen khẳng định: “Thắng lợi vẻ vang của CPP trong cuộc bầu cử Hội đồng xã, phường nhiệm kỳ V càng thể hiện rõ hơn nữa, cho thấy nhân dân Campuchia rất cần vai trò lãnh đạo của CPP cả ở cấp Trung ương, cũng như cấp cơ sở, tại các xã, phường, thôn, ấp. Chiến thắng đó sẽ giúp CPP có cơ sở vững chắc hơn nữa để tiến tới giành chiến thắng trong cuộc bầu cử Quốc hội khóa VII vào năm 2023”. Thủ tướng Campuchia Hun Sen, Chủ tịch Đảng Nhân dân Campuchia (CPP) tuyên bố sẽ tiếp tục là ứng cử viên thủ tướng trong cuộc tổng tuyển cử năm 2023 và kêu gọi người dân ủng hộ Đảng Nhân dân Campuchia (CPP). Chính phủ Hoàng gia Campuchia đã công bố quyết định tổ chức tổng tuyển cử vào ngày 23/7/2023.</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Với chiến thắng vang dội của CPP, nhiều nhà nghiên cứu nhận định lạc quan về một kết quả tích cực đối với Thủ tướng Hun Sen và đảng cầm quyền CPP trong năm 2023. Đồng thời cũng đưa ra các dự đoán về việc chuyển giao quyền lực tại Campuchia khi vào ngày 24/01/2021, Đảng Nhân dân Campuchia (CPP) cho biết Ủy ban Trung ương nhất trí chọn ông Hun Manet (44 tuổi), con trai cả của Thủ tướng đương nhiệm Hun Sen, là “ứng cử viên thủ tướng tương lai”.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Về đối ngoại, trong thời gian tới, một số chuyên gia nhận định, Campuchia có thể sẽ cải thiện và thúc đẩy quan hệ với Mỹ. Tăng cường hợp tác kinh tế thương mại giữa hai nước là một trong những động lực chính thúc đẩy chính quyền Hun Sen mong muốn cải thiện quan hệ Campuchia - Mỹ. Mỹ là nước xuất khẩu thương mại lớn nhất của Campuchia và thị trường Mỹ chiếm hơn một phần tư tổng kim ngạch xuất khẩu nước ngoài hàng năm của Campuchia. Mỹ cũng dành cho Campuchia nhiều ưu đãi về chính sách. Hiện nay, Campuchia đã đưa ra một loạt chính sách và quy định để thúc đẩy kinh tế và thương mại như Luật đầu tư mới và Luật hợp tác công tư; thúc đẩy RCEP, Hiệp định thương mại tự do Trung Quốc -Campuchia và Hiệp định thương mại tự do Hàn Quốc - Campuchia; đẩy mạnh đàm phán Hiệp định thương mại tự do Nhật Bản - Campuchia; tích cực thu hút đầu tư nước ngoài và xuất khẩu hàng hóa; thúc đẩy phục hồi và phát triển kinh tế trong thời kỳ hậu đại dịch, mà trong đó không thể xem nhẹ Mỹ với tư cách là nước đầu tư và viện trợ quan trọng cho Campuchia. Duy trì tăng trưởng kinh tế và ổn định trong nước là yếu tố quan trọng đối với chính quyền của Thủ tướng Hun Sen trong thời gian tới.</w:t>
      </w:r>
    </w:p>
    <w:p w:rsidR="00367BF4" w:rsidRPr="00367BF4" w:rsidRDefault="00367BF4" w:rsidP="00367BF4">
      <w:pPr>
        <w:spacing w:after="0" w:line="240" w:lineRule="auto"/>
        <w:ind w:firstLine="567"/>
        <w:jc w:val="both"/>
        <w:rPr>
          <w:rFonts w:eastAsia="Times New Roman" w:cs="Times New Roman"/>
          <w:b/>
          <w:szCs w:val="28"/>
        </w:rPr>
      </w:pPr>
      <w:r w:rsidRPr="00367BF4">
        <w:rPr>
          <w:rFonts w:eastAsia="Times New Roman" w:cs="Times New Roman"/>
          <w:b/>
          <w:szCs w:val="28"/>
        </w:rPr>
        <w:lastRenderedPageBreak/>
        <w:t xml:space="preserve">4. Kết quả Hội nghị Thượng đỉnh lần thứ 14 của Nhóm các nền kinh tế mới nổi </w:t>
      </w:r>
    </w:p>
    <w:p w:rsidR="00367BF4" w:rsidRPr="00367BF4" w:rsidRDefault="00367BF4" w:rsidP="00367BF4">
      <w:pPr>
        <w:spacing w:after="0" w:line="240" w:lineRule="auto"/>
        <w:ind w:firstLine="567"/>
        <w:jc w:val="both"/>
        <w:rPr>
          <w:rFonts w:eastAsia="Times New Roman" w:cs="Times New Roman"/>
          <w:i/>
          <w:iCs/>
          <w:szCs w:val="28"/>
        </w:rPr>
      </w:pPr>
      <w:r w:rsidRPr="00367BF4">
        <w:rPr>
          <w:rFonts w:eastAsia="Times New Roman" w:cs="Times New Roman"/>
          <w:i/>
          <w:iCs/>
          <w:szCs w:val="28"/>
        </w:rPr>
        <w:t>Ngày 23/6/2022, Hội nghị Thượng đỉnh lần thứ 14 của Nhóm các nền kinh tế mới nổi hàng đầu thế giới (BRICS), gồm Brazil, Nga, Ấn Độ, Trung Quốc, Nam Phi, đã diễn ra theo hình thức trực tuyến, do Trung Quốc chủ trì tổ chức. Kết thúc Hội  nghị, các quốc gia tham gia đã thông qua “Tuyên bố Bắc Kinh”.</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shd w:val="clear" w:color="auto" w:fill="FFFFFF"/>
        </w:rPr>
        <w:t xml:space="preserve">  </w:t>
      </w:r>
      <w:r w:rsidRPr="00367BF4">
        <w:rPr>
          <w:rFonts w:eastAsia="Times New Roman" w:cs="Times New Roman"/>
          <w:szCs w:val="28"/>
        </w:rPr>
        <w:t xml:space="preserve">Được thành lập vào năm 2001, cho đến nay BRICS đã trở thành một tổ chức toàn cầu, được cho là có mục tiêu trở thành một nhóm tương tự như G7 (nhóm 7 nền kinh tế hàng đầu thế giới) của các nền kinh tế mới nổi. Hội nghị thượng đỉnh giữa các nhà lãnh đạo 5 quốc gia nhóm BRICS được tổ chức hàng năm kể từ năm 2009. BRICS đã thành lập một tổ chức tài trợ phát triển cơ sở hạ tầng, Ngân hàng Phát triển Mới, và một “quỹ thanh khoản” để hỗ trợ các thành viên trong trường hợp xảy ra khủng hoảng tài chính. Các nỗ lực khác nhằm thể chế hóa nhóm bao gồm các chương trình văn hóa và giải đấu thể thao BRICS.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Hội nghị Thượng đỉnh lần thứ 14 diễn ra trong bối cảnh cạnh tranh giữa các cường quốc đang ngày càng diễn ra gay gắt, đặc biệt là sự đối trọng giữa Hoa Kỳ và các nước đồng minh với Nga và Trung Quốc. Tại Hội nghị, Tổng thống Nga Vladimir Putin tuyên bố các nhà chức trách của Nga đang tích cực tham gia định hướng lại các dòng chảy thương mại và các mối liên hệ kinh tế đối ngoại với các đối tác quốc tế đáng tin cậy, trong đó chủ yếu là với các nước BRICS và đề nghị một kế hoạch về một loại tiền dự trữ mới dựa trên tiền tệ của 5 thành viên là Brazil, Nga, Ấn Độ, Trung Quốc và Nam Phi. Đồng thời, ông cũng kêu gọi các thành viên trong nhóm tăng cường sử dụng Hệ thống chuyển tin nhắn tài chính (SPFS) như một giải pháp thay thế hệ thống SWIFT. Thứ trưởng Thương mại Trung Quốc Vương Thụ Văn đề nghị thiết lập một hiệp định thương mại tự do giữa 5 quốc gia thành viên, lưu ý rằng mặc dù các nước này đại diện cho khoảng 1/5 thương mại thế giới, song thương mại hàng hóa và dịch vụ của nhóm chỉ ước tính tương đương 6% tổng kim ngạch thương mại toàn cầu. Hiện tại, giữa các thành viên cũng chưa có hiệp định thương mại song phương. Một nội dung quan trọng nhất là đề xuất mở rộng nhóm của Chủ tịch Trung Quốc Tập Cận Bình nhằm tiếp thêm sức sống mới cho hợp tác BRICS và nâng cao tính đại diện cũng như tầm ảnh hưởng của BRICS. Chủ tịch Trung Quốc Tập Cận Bình cho rằng: “Điều quan trọng là phải thúc đẩy quá trình này để cho phép các đối tác cùng chí hướng sớm trở thành một phần của gia đình BRICS”.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Kết thúc Hội nghị, các bên đã thông qua </w:t>
      </w:r>
      <w:r w:rsidRPr="00367BF4">
        <w:rPr>
          <w:rFonts w:eastAsia="Times New Roman" w:cs="Times New Roman"/>
          <w:i/>
          <w:szCs w:val="28"/>
        </w:rPr>
        <w:t>“Tuyên bố Bắc Kinh”</w:t>
      </w:r>
      <w:r w:rsidRPr="00367BF4">
        <w:rPr>
          <w:rFonts w:eastAsia="Times New Roman" w:cs="Times New Roman"/>
          <w:szCs w:val="28"/>
        </w:rPr>
        <w:t xml:space="preserve"> tập trung vào 4 nội dung chính. </w:t>
      </w:r>
      <w:r w:rsidRPr="00367BF4">
        <w:rPr>
          <w:rFonts w:eastAsia="Times New Roman" w:cs="Times New Roman"/>
          <w:i/>
          <w:iCs/>
          <w:szCs w:val="28"/>
        </w:rPr>
        <w:t>Thứ nhất,</w:t>
      </w:r>
      <w:r w:rsidRPr="00367BF4">
        <w:rPr>
          <w:rFonts w:eastAsia="Times New Roman" w:cs="Times New Roman"/>
          <w:szCs w:val="28"/>
        </w:rPr>
        <w:t xml:space="preserve"> về vấn đề kinh tế và cải cách </w:t>
      </w:r>
      <w:hyperlink r:id="rId9" w:history="1">
        <w:r w:rsidRPr="00367BF4">
          <w:rPr>
            <w:rFonts w:eastAsia="Times New Roman" w:cs="Times New Roman"/>
            <w:szCs w:val="28"/>
          </w:rPr>
          <w:t>Tổ chức Thương mại Thế giới</w:t>
        </w:r>
      </w:hyperlink>
      <w:r w:rsidRPr="00367BF4">
        <w:rPr>
          <w:rFonts w:eastAsia="Times New Roman" w:cs="Times New Roman"/>
          <w:szCs w:val="28"/>
        </w:rPr>
        <w:t xml:space="preserve"> (WTO), các nhà lãnh đạo BRICS kêu gọi các nước phát triển hàng đầu thế giới phát triển nền kinh tế của mình một cách có trách nhiệm và phi chính trị để tránh những hậu quả nghiêm trọng cho các nước đang phát triển. Các định chế tài chính đa phương và các tổ chức quốc tế cần được khuyến khích đóng vai trò mang tính </w:t>
      </w:r>
      <w:r w:rsidRPr="00367BF4">
        <w:rPr>
          <w:rFonts w:eastAsia="Times New Roman" w:cs="Times New Roman"/>
          <w:szCs w:val="28"/>
        </w:rPr>
        <w:lastRenderedPageBreak/>
        <w:t>xây dựng trong nỗ lực đạt được sự đồng thuận toàn cầu về chính sách kinh tế và ngăn ngừa rủi ro mang tính hệ thống liên quan đến sự tan rã và phân mảng kinh tế của </w:t>
      </w:r>
      <w:hyperlink r:id="rId10" w:history="1">
        <w:r w:rsidRPr="00367BF4">
          <w:rPr>
            <w:rFonts w:eastAsia="Times New Roman" w:cs="Times New Roman"/>
            <w:szCs w:val="28"/>
          </w:rPr>
          <w:t>hệ thống tài chính tiền tệ</w:t>
        </w:r>
      </w:hyperlink>
      <w:r w:rsidRPr="00367BF4">
        <w:rPr>
          <w:rFonts w:eastAsia="Times New Roman" w:cs="Times New Roman"/>
          <w:szCs w:val="28"/>
        </w:rPr>
        <w:t xml:space="preserve"> quốc tế. </w:t>
      </w:r>
      <w:r w:rsidRPr="00367BF4">
        <w:rPr>
          <w:rFonts w:eastAsia="Times New Roman" w:cs="Times New Roman"/>
          <w:i/>
          <w:iCs/>
          <w:szCs w:val="28"/>
        </w:rPr>
        <w:t>Thứ hai</w:t>
      </w:r>
      <w:r w:rsidRPr="00367BF4">
        <w:rPr>
          <w:rFonts w:eastAsia="Times New Roman" w:cs="Times New Roman"/>
          <w:szCs w:val="28"/>
        </w:rPr>
        <w:t xml:space="preserve">, về biến đổi khí hậu, các nước phát triển phải có “trách nhiệm lịch sử đối với biến đổi khí hậu toàn cầu và nên đi đầu trong việc mở rộng các hành động giảm thiểu”; “Tất cả các biện pháp được thực hiện để giải quyết biến đổi khí hậu và mất đa dạng sinh học phải được thiết kế, thông qua và thực hiện hoàn toàn phù hợp với các hiệp định của WTO, không được tạo thành một phương tiện phân biệt đối xử tùy tiện hoặc vô cớ hoặc một hạn chế trá hình về thương mại quốc tế và không được tạo ra những trở ngại không cần thiết đối với thương mại quốc tế”. </w:t>
      </w:r>
      <w:r w:rsidRPr="00367BF4">
        <w:rPr>
          <w:rFonts w:eastAsia="Times New Roman" w:cs="Times New Roman"/>
          <w:i/>
          <w:iCs/>
          <w:szCs w:val="28"/>
        </w:rPr>
        <w:t>Thứ ba</w:t>
      </w:r>
      <w:r w:rsidRPr="00367BF4">
        <w:rPr>
          <w:rFonts w:eastAsia="Times New Roman" w:cs="Times New Roman"/>
          <w:szCs w:val="28"/>
        </w:rPr>
        <w:t xml:space="preserve">, các quốc gia BRICS tái khẳng định "tôn trọng chủ quyền và toàn vẹn lãnh thổ của tất cả các quốc gia, nhấn mạnh cam kết trong việc giải quyết hòa bình các khác biệt và tranh chấp” và “cam kết mạnh mẽ về giải trừ hạt nhân”. Đồng thời nhấn mạnh: “Lãnh thổ của nước này không được sử dụng để đe dọa hoặc tấn công bất kỳ quốc gia nào hoặc để trú ẩn hoặc huấn luyện những kẻ khủng bố, hoặc để lập kế hoạch tài trợ cho các hoạt động khủng bố”. </w:t>
      </w:r>
      <w:r w:rsidRPr="00367BF4">
        <w:rPr>
          <w:rFonts w:eastAsia="Times New Roman" w:cs="Times New Roman"/>
          <w:i/>
          <w:iCs/>
          <w:szCs w:val="28"/>
        </w:rPr>
        <w:t>Thứ tư,</w:t>
      </w:r>
      <w:r w:rsidRPr="00367BF4">
        <w:rPr>
          <w:rFonts w:eastAsia="Times New Roman" w:cs="Times New Roman"/>
          <w:szCs w:val="28"/>
        </w:rPr>
        <w:t xml:space="preserve"> về cuộc xung đột tại Ukraine, các nước BRICS ủng hộ các cuộc đàm phán giữa Nga và Ukraine và những nỗ lực của Liên hợp quốc cùng Tổng thư ký Antonio Guterres, cũng như Ủy ban Chữ thập đỏ quốc tế về việc cung cấp viện trợ nhân đạo cho Ukraine.</w:t>
      </w:r>
    </w:p>
    <w:p w:rsidR="00367BF4" w:rsidRPr="00367BF4" w:rsidRDefault="00367BF4" w:rsidP="00367BF4">
      <w:pPr>
        <w:spacing w:after="0" w:line="240" w:lineRule="auto"/>
        <w:ind w:firstLine="567"/>
        <w:jc w:val="both"/>
        <w:rPr>
          <w:rFonts w:eastAsia="Times New Roman" w:cs="Times New Roman"/>
          <w:b/>
          <w:szCs w:val="28"/>
        </w:rPr>
      </w:pPr>
      <w:r w:rsidRPr="00367BF4">
        <w:rPr>
          <w:rFonts w:eastAsia="Times New Roman" w:cs="Times New Roman"/>
          <w:b/>
          <w:szCs w:val="28"/>
        </w:rPr>
        <w:t>5. Kết quả Phiên họp lần thứ 14 Uỷ ban chỉ đạo hợp tác song phương Việt Nam - Trung Quốc (diễn ra từ ngày 12 - 13/7/2022)</w:t>
      </w:r>
    </w:p>
    <w:p w:rsidR="00367BF4" w:rsidRPr="00367BF4" w:rsidRDefault="00367BF4" w:rsidP="00367BF4">
      <w:pPr>
        <w:spacing w:after="0" w:line="240" w:lineRule="auto"/>
        <w:ind w:firstLine="567"/>
        <w:jc w:val="both"/>
        <w:rPr>
          <w:rFonts w:eastAsia="Times New Roman" w:cs="Times New Roman"/>
          <w:i/>
          <w:szCs w:val="28"/>
        </w:rPr>
      </w:pPr>
      <w:r w:rsidRPr="00367BF4">
        <w:rPr>
          <w:rFonts w:eastAsia="Times New Roman" w:cs="Times New Roman"/>
          <w:i/>
          <w:szCs w:val="28"/>
        </w:rPr>
        <w:t>Nhận lời mời của Ủy viên Quốc vụ, Bộ trưởng Bộ Ngoại giao Trung Quốc Vương Nghị, Phó Thủ tướng Thường trực Chính phủ Phạm Bình Minh thăm Trung Quốc và đồng chủ trì Phiên họp lần thứ 14 Ủy ban chỉ đạo hợp tác song phương Việt Nam - Trung Quốc.</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Trong thời gian qua, quan hệ Đối tác hợp tác chiến lược toàn diện Việt Nam-Trung Quốc tiếp tục duy trì ổn định và có nhiều tiến triển mới. Về quan hệ chính trị, trao đổi, tiếp xúc cấp cao diễn ra thường xuyên với nhiều hình thức linh hoạt, góp phần quan trọng vào việc tăng cường tin cậy chính trị giữa hai Đảng, hai nước. Hợp tác kinh tế, thương mại nhìn chung phát triển ổn định. Trung Quốc tiếp tục là đối tác thương mại lớn nhất và là thị trường xuất khẩu lớn thứ hai của Việt Nam, trong khi Việt Nam tiếp tục là đối tác thương mại lớn nhất của Trung Quốc trong Hiệp hội Các quốc gia Đông Nam Á (ASEAN) và là đối tác lớn thứ 6 của Trung Quốc trên thế giới. Trong bối cảnh tình hình quốc tế, khu vực diễn biến phức tạp, khó lường, chuyến thăm Trung Quốc lần này của Phó Thủ tướng Thường trực Phạm Bình Minh có ý nghĩa rất quan trọng, thể hiện quyết tâm của hai bên trong việc duy trì giao lưu, tiếp xúc mật thiết giữa hai Đảng, hai nước, góp phần tăng cường hơn nữa tin cậy chính trị, đưa quan hệ hữu nghị và hợp tác cùng có lợi Việt Nam - Trung Quốc ngày càng đi vào chiều sâu, thực chất. Đồng thời, đây cũng là chuyến thăm Trung Quốc đầu tiên của một đồng chí Ủy viên Bộ Chính trị, Lãnh </w:t>
      </w:r>
      <w:r w:rsidRPr="00367BF4">
        <w:rPr>
          <w:rFonts w:eastAsia="Times New Roman" w:cs="Times New Roman"/>
          <w:szCs w:val="28"/>
        </w:rPr>
        <w:lastRenderedPageBreak/>
        <w:t>đạo Chính phủ Việt Nam kể từ sau Đại hội Đảng toàn quốc lần thứ XIII và đại dịch Covid-19 bùng phát.</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Tại Phiên họp lần thứ 14 Ủy ban chỉ đạo hợp tác song phương Việt Nam - Trung Quốc, hai bên đi sâu trao đổi và xác định một số trọng tâm công tác thời gian tới nhằm thúc đẩy quan hệ đối tác hợp tác chiến lược toàn diện Việt Nam - Trung Quốc phát triển bền vững. Trong đó, đáng chú ý là việc nhất trí thúc đẩy tổ chức các chuyến thăm cấp cao khi điều kiện cho phép và duy trì tiếp xúc với hình thức phù hợp khi tình hình dịch Covid-19 còn diễn biến phức tạp; triển khai hiệu quả hợp tác giữa hai Đảng; phát huy vai trò quan trọng của hai Bộ Ngoại giao trong việc điều phối, thúc đẩy quan hệ hai nước; triển khai tốt các cơ chế giao lưu, hợp tác trong các lĩnh vực quốc phòng, an ninh, thực thi pháp luật; trao đổi kinh nghiệm và triển khai hợp tác về phòng, chống dịch Covid-19, nối lại các chuyến bay thương mại, tạo thuận lợi cho việc qua lại về người và hàng hóa.</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Hai bên nhất trí tiếp tục thúc đẩy hợp tác trong lĩnh vực kinh tế - thương mại, đầu tư phát triển bền vững. Phó Thủ tướng, Bộ trưởng Ngoại giao Phạm Bình Minh đề nghị Trung Quốc tạo điều kiện để hoạt động thương mại Việt - Trung và khuyến khích doanh nghiệp Trung Quốc đẩy mạnh đầu tư vào các lĩnh vực công nghệ tiên tiến, thân thiện với môi trường. Đồng thời, chỉ đạo giải quyết triệt để các vướng mắc, tồn đọng tại một số dự án hợp tác.</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Về vấn đề biên giới lãnh thổ, hai bên đã trao đổi một cách toàn diện. Về biên giới trên đất liền, hai bên nhất trí tăng cường phối hợp trong công tác quản lý, bảo vệ biên giới, nghiêm túc tuân thủ các quy định của 03 văn kiện pháp lý về biên giới trên đất liền và các thỏa thuận liên quan. Về vấn đề trên biển, Phó Thủ tướng, Bộ trưởng Ngoại giao Phạm Bình Minh đã nêu quan ngại trước những diễn biến phức tạp ở Biển Đông gần đây; đề nghị hai bên kiểm soát tốt bất đồng trên biển, không có hành động làm phức tạp tình hình, mở rộng tranh chấp, tôn trọng các quyền và lợi ích hợp pháp của Việt Nam, duy trì hòa bình, ổn định ở Biển Đông. Hai bên nhất trí tuân thủ nhận thức chung cấp cao và Thỏa thuận về những nguyên tắc cơ bản chỉ đạo giải quyết vấn đề trên biển Việt Nam - Trung Quốc; tuân thủ luật pháp quốc tế, đặc biệt là Công ước Liên hợp quốc về Luật Biển năm 1982; thúc đẩy các cơ chế đàm phán về vấn đề trên biển đạt kết quả thực chất; thực hiện toàn diện, hiệu quả DOC; thúc đẩy đàm phán COC sớm đạt kết quả thực chất.</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Để nâng cao hiệu quả thông tin, tuyên truyền, trong thời gian tới, công tác tuyên truyền cần chú trọng một số nội dung chủ yếu sau đây:</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i/>
          <w:iCs/>
          <w:szCs w:val="28"/>
        </w:rPr>
        <w:t>Một là</w:t>
      </w:r>
      <w:r w:rsidRPr="00367BF4">
        <w:rPr>
          <w:rFonts w:eastAsia="Times New Roman" w:cs="Times New Roman"/>
          <w:szCs w:val="28"/>
        </w:rPr>
        <w:t xml:space="preserve">, thông tin, tuyên truyền cần chuyển tải rõ ràng, nhất quán đường lối đối ngoại của Việt Nam theo Nghị quyết Đại hội lần thứ XIII của Đảng; đồng thời, thể hiện sự coi trọng mối quan hệ “vừa là đồng chí, vừa là anh em” với Trung Quốc, mong muốn đưa quan hệ hai nước tiếp tục phát triển thực chất, hiệu quả.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i/>
          <w:iCs/>
          <w:szCs w:val="28"/>
        </w:rPr>
        <w:t>Hai là,</w:t>
      </w:r>
      <w:r w:rsidRPr="00367BF4">
        <w:rPr>
          <w:rFonts w:eastAsia="Times New Roman" w:cs="Times New Roman"/>
          <w:szCs w:val="28"/>
        </w:rPr>
        <w:t xml:space="preserve"> nhấn mạnh kết quả của Phiên họp lần thứ 14 và hiệu quả của cơ chế Ủy ban chỉ đạo hợp tác song phương Việt Nam - Trung Quốc.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i/>
          <w:iCs/>
          <w:szCs w:val="28"/>
        </w:rPr>
        <w:lastRenderedPageBreak/>
        <w:t>Ba là,</w:t>
      </w:r>
      <w:r w:rsidRPr="00367BF4">
        <w:rPr>
          <w:rFonts w:eastAsia="Times New Roman" w:cs="Times New Roman"/>
          <w:szCs w:val="28"/>
        </w:rPr>
        <w:t xml:space="preserve"> nâng cao cảnh giác trước các âm mưu, thủ đoạn của các thế lực thù địch, phản động, cơ hội chính trị lợi dụng để chống phá, tuyên truyền xuyên tạc về lập trường, quan điểm của Việt Nam, về quan hệ hai nước. Đồng thời, tăng cường đấu tranh, phản bác với các thông tin sai sự thật, thiếu kiểm chứng, đặc biệt là trên mạng xã hội, nhằm kích động nhân dân, gây phương hại tới quan hệ đối ngoại của Việt Nam với các nước.</w:t>
      </w:r>
    </w:p>
    <w:bookmarkEnd w:id="0"/>
    <w:p w:rsidR="00367BF4" w:rsidRPr="00367BF4" w:rsidRDefault="00367BF4" w:rsidP="00367BF4">
      <w:pPr>
        <w:spacing w:after="0" w:line="240" w:lineRule="auto"/>
        <w:ind w:firstLine="567"/>
        <w:jc w:val="both"/>
        <w:rPr>
          <w:rFonts w:eastAsia="Times New Roman" w:cs="Times New Roman"/>
          <w:b/>
          <w:szCs w:val="28"/>
        </w:rPr>
      </w:pPr>
      <w:r w:rsidRPr="00367BF4">
        <w:rPr>
          <w:rFonts w:eastAsia="Times New Roman" w:cs="Times New Roman"/>
          <w:b/>
          <w:szCs w:val="28"/>
        </w:rPr>
        <w:t>II</w:t>
      </w:r>
      <w:r w:rsidRPr="00367BF4">
        <w:rPr>
          <w:rFonts w:eastAsia="Times New Roman" w:cs="Times New Roman"/>
          <w:b/>
          <w:szCs w:val="28"/>
        </w:rPr>
        <w:t>.</w:t>
      </w:r>
      <w:r w:rsidRPr="00367BF4">
        <w:rPr>
          <w:rFonts w:eastAsia="Times New Roman" w:cs="Times New Roman"/>
          <w:b/>
          <w:szCs w:val="28"/>
        </w:rPr>
        <w:t xml:space="preserve"> THÔNG TIN</w:t>
      </w:r>
      <w:r w:rsidRPr="00367BF4">
        <w:rPr>
          <w:rFonts w:eastAsia="Times New Roman" w:cs="Times New Roman"/>
          <w:b/>
          <w:szCs w:val="28"/>
        </w:rPr>
        <w:t xml:space="preserve"> </w:t>
      </w:r>
      <w:r w:rsidRPr="00367BF4">
        <w:rPr>
          <w:rFonts w:eastAsia="Times New Roman" w:cs="Times New Roman"/>
          <w:b/>
          <w:szCs w:val="28"/>
        </w:rPr>
        <w:t xml:space="preserve">THỜI SỰ </w:t>
      </w:r>
      <w:r w:rsidRPr="00367BF4">
        <w:rPr>
          <w:rFonts w:eastAsia="Times New Roman" w:cs="Times New Roman"/>
          <w:b/>
          <w:szCs w:val="28"/>
        </w:rPr>
        <w:t>TRONG NƯỚC</w:t>
      </w:r>
    </w:p>
    <w:p w:rsidR="00367BF4" w:rsidRPr="00367BF4" w:rsidRDefault="00367BF4" w:rsidP="00367BF4">
      <w:pPr>
        <w:widowControl w:val="0"/>
        <w:spacing w:after="0" w:line="240" w:lineRule="auto"/>
        <w:ind w:firstLine="567"/>
        <w:jc w:val="both"/>
        <w:rPr>
          <w:rFonts w:eastAsia="Times New Roman" w:cs="Times New Roman"/>
          <w:b/>
          <w:szCs w:val="28"/>
        </w:rPr>
      </w:pPr>
      <w:r w:rsidRPr="00367BF4">
        <w:rPr>
          <w:rFonts w:eastAsia="Times New Roman" w:cs="Times New Roman"/>
          <w:b/>
          <w:szCs w:val="28"/>
        </w:rPr>
        <w:t>1.</w:t>
      </w:r>
      <w:r w:rsidRPr="00367BF4">
        <w:rPr>
          <w:rFonts w:eastAsia="Times New Roman" w:cs="Times New Roman"/>
          <w:b/>
          <w:bCs/>
          <w:szCs w:val="28"/>
        </w:rPr>
        <w:t xml:space="preserve"> </w:t>
      </w:r>
      <w:r w:rsidRPr="00367BF4">
        <w:rPr>
          <w:rFonts w:eastAsia="Times New Roman" w:cs="Times New Roman"/>
          <w:b/>
          <w:szCs w:val="28"/>
        </w:rPr>
        <w:t xml:space="preserve">Mục tiêu, tầm nhìn, giải pháp về nông nghiệp, nông dân, nông thôn đến năm 2030, tầm nhìn đến năm 2045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Sau gần 15 năm thực hiện Nghị quyết số 26-NQ/TW của Ban Chấp hành Trung ương Đảng khoá X về nông nghiệp, nông dân, nông thôn, với sự tập trung lãnh đạo, chỉ đạo của các cấp ủy, tổ chức đảng, sự chung sức, đồng lòng của toàn dân, nông nghiệp, nông dân, nông thôn nước ta đã đạt được nhiều thành tựu rất to lớn. Nông nghiệp tiếp tục phát triển cả về quy mô và trình độ sản xuất, duy trì tăng trưởng ở mức khá cao, khẳng định vị thế quan trọng, là trụ đỡ của nền kinh tế, bảo đảm vững chắc an ninh lương thực quốc gia. Sản xuất kinh doanh nông nghiệp phát triển mạnh theo hướng chuyển đổi cơ cấu cây trồng, vật nuôi, ứng dụng khoa học - công nghệ, nâng cao chất lượng và giá trị gia tăng, phát huy lợi thế vùng, miền, địa phương, thích ứng với biến đổi khí hậu. Hệ thống tổ chức sản xuất kinh doanh trong nông nghiệp ngày càng được hoàn thiện; tỷ lệ nông sản qua chế biến tăng dần, thị trường tiêu thụ được mở rộng, xuất khẩu tăng nhanh cả về sản lượng, giá trị và tỷ trọng sản phẩm chất lượng cao. Việt Nam trở thành một trong những nước có một số mặt hàng xuất khẩu nông sản lớn trên thế giới. Trình độ, học vấn của nông dân nước ta từng bước được nâng cao; tư duy sản xuất kinh doanh nông nghiệp không ngừng đổi mới, dần thích ứng với kinh tế thị trường định hướng xã hội chủ nghĩa. Nông dân đã phát huy tốt hơn vai trò là chủ thể, tham gia hợp tác, liên kết, chuyển đổi cơ cấu sản xuất, phát triển kinh tế, khôi phục và phát triển ngành nghề nông thôn, xây dựng nông thôn mới, giữ gìn bản sắc văn hoá dân tộc, giữ vững an ninh chính trị, trật tự, an toàn xã hội. Xây dựng nông thôn mới đã trở thành phong trào sâu rộng, với sự tham gia tích cực của cả hệ thống chính trị và toàn dân, về đích sớm hơn so với mục tiêu Nghị quyết đề ra; góp phần đẩy nhanh quá trình công nghiệp hoá, hiện đại hoá nông nghiệp, nông thôn; cơ cấu kinh tế nông thôn chuyển dịch tích cực, tăng tỷ trọng kinh tế công nghiệp và dịch vụ; thu nhập và đời sống vật chất, tinh thần của cư dân nông thôn không ngừng được cải thiện, tỷ lệ hộ nghèo giảm nhanh, số hộ khá và giàu tăng; diện mạo nông thôn Việt Nam có sự thay đổi rõ rệt; niềm tin của Nhân dân đối với Đảng, Nhà nước và chế độ ta ngày càng được củng cố, nâng cao.</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Bên cạnh những thành tựu đạt được, nông nghiệp phát triển còn thiếu bền vững, tốc độ tăng trưởng có xu hướng giảm, tổ chức sản xuất kinh doanh chủ yếu vẫn dựa vào nông hộ nhỏ, thiếu liên kết; chất lượng, hiệu quả hoạt động của khu </w:t>
      </w:r>
      <w:r w:rsidRPr="00367BF4">
        <w:rPr>
          <w:rFonts w:eastAsia="Times New Roman" w:cs="Times New Roman"/>
          <w:szCs w:val="28"/>
        </w:rPr>
        <w:lastRenderedPageBreak/>
        <w:t>vực kinh tế tập thể, hợp tác xã chưa cao. Nghiên cứu, ứng dụng khoa học - công nghệ, đổi mới sáng tạo, đào tạo nguồn nhân lực còn hạn chế, chưa trở thành động lực chính để tạo đột phá phát triển; nhiều loại giống cây trồng, vật nuôi, vật tư nông nghiệp phụ thuộc nhiều vào nhập khẩu. Thu hút đầu tư cho phát triển nông nghiệp, dịch vụ ở nông thôn gặp nhiều khó khăn. Công nghiệp cơ khí phục vụ nông nghiệp, chế biến nông sản chưa đáp ứng được yêu cầu; cơ giới hoá nông nghiệp chưa đồng bộ. Công tác dự báo, thông tin về thị trường sản xuất, tiêu thụ nông sản còn hạn chế. Đào tạo nghề, giải quyết việc làm, chuyển dịch cơ cấu lao động nông thôn còn nhiều bất cập; lao động nông thôn có xu hướng già hoá; năng suất lao động và thu nhập bình quân của cư dân nông thôn còn thấp, tỷ lệ hộ nghèo còn cao, nhất là ở vùng sâu, vùng xa, vùng đồng bào dân tộc thiểu số. Xây dựng nông thôn mới chưa đồng đều, nhiều nơi chưa chú trọng đúng mức đến phát triển sản xuất, tạo sinh kế, xây dựng đời sống văn hoá; ô nhiễm môi trường nông thôn gia tăng; một số vấn đề xã hội phức tạp phát sinh ở nhiều địa phương, gây bức xúc trong xã hội; năng lực ứng phó với biến đổi khí hậu, phòng, chống thiên tai, dịch bệnh còn nhiều hạn chế.</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Nghị quyết số 19-NQ/TW, ngày 16/6/2022 của Ban Chấp hành Trung ương (khóa XIII) về nông nghiệp, nông dân, nông thôn đến năm 2030, tầm nhìn đến năm 2045 nêu rõ mục tiêu, tầm nhìn, giải pháp như sau:</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Mục tiêu tổng quát đến năm 2030: Nông dân và cư dân nông thôn có trình độ, đời sống vật chất và tinh thần ngày càng cao, làm chủ quá trình phát triển nông nghiệp, nông thôn. Nông nghiệp phát triển nhanh, bền vững, hiệu quả, bảo đảm vững chắc an ninh lương thực quốc gia, quy mô sản xuất hàng hóa nông sản ngày càng lớn, bảo đảm môi trường sinh thái, thích ứng với biến đổi khí hậu. Nông thôn phát triển toàn diện, có kết cấu hạ tầng kinh tế - xã hội đồng bộ, hiện đại, cơ cấu kinh tế và hình thức tổ chức sản xuất hợp lý, môi trường sống an toàn, lành mạnh, giàu bản sắc văn hóa dân tộc; an ninh chính trị, trật tự, an toàn xã hội được giữ vững; tổ chức đảng và hệ thống chính trị ở cơ sở trong sạch, vững mạnh.</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Mục tiêu cụ thể đến năm 2030: Tốc độ tăng trưởng GDP ngành Nông nghiệp phấn đấu đạt bình quân khoảng 3%/năm; tăng năng suất lao động nông nghiệp bình quân từ 5,5 - 6%/năm. Tốc độ tăng trưởng công nghiệp, dịch vụ nông thôn phấn đấu đạt bình quân trên 10%/năm. Số xã đạt chuẩn nông thôn mới trên 90%, trong đó, phấn đấu 50% số xã đạt chuẩn nông thôn mới nâng cao; số đơn vị cấp huyện đạt chuẩn nông thôn mới trên 70%, trong đó phấn đấu 35% số đơn vị cấp huyện đạt chuẩn nông thôn mới nâng cao. Thu nhập bình quân của người dân nông thôn năm 2030 phấn đấu tăng gấp 2,5 - 3 lần so với năm 2020. Tỷ lệ hộ gia đình nông thôn được sử dụng nước sạch theo quy chuẩn đạt 80%. Tỷ trọng lao động nông nghiệp trong tổng lao động xã hội dưới 20%; bình quân hằng năm đào tạo nghề cho khoảng 1,5 triệu lao động nông thôn. Tỷ lệ che phủ rừng ổn định ở mức 42%, nâng cao năng suất, chất lượng rừng; tỷ lệ chất thải rắn sinh hoạt nông thôn được thu gom, xử lý theo quy định đạt 90%.</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lastRenderedPageBreak/>
        <w:t>Tầm nhìn đến năm 2045: Nông dân và cư dân nông thôn văn minh, phát triển toàn diện, có thu nhập cao. Nông nghiệp sinh thái, sản xuất hàng hóa quy mô lớn, có giá trị gia tăng cao, gắn kết chặt chẽ với thị trường trong và ngoài nước, công nghiệp chế biến và bảo quản nông sản hiện đại, xuất khẩu nhiều loại nông sản đứng hàng đầu thế giới. Nông thôn hiện đại, có điều kiện sống tiệm cận với đô thị, môi trường sống xanh, sạch, đẹp, giàu bản sắc văn hóa dân tộc; quốc phòng, an ninh, trật tự, an toàn xã hội được bảo đảm vững chắc.</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Các nhóm nhiệm vụ, giải pháp chủ yếu: Nâng cao vai trò, vị thế, năng lực làm chủ, cải thiện toàn diện đời sống vật chất, tinh thần của nông dân và cư dân nông thôn. Phát triển nền nông nghiệp hiệu quả, bền vững theo hướng sinh thái, ứng dụng khoa học - công nghệ tiên tiến, nâng cao chất lượng, giá trị gia tăng. Phát triển mạnh công nghiệp, dịch vụ, chuyển dịch cơ cấu kinh tế, tạo việc làm tại chỗ cho lao động nông thôn. Xây dựng nông thôn mới phát triển toàn diện, bền vững gắn với đô thị hóa, bảo đảm thực chất, đi vào chiều sâu, hiệu quả, vì lợi ích của người dân. Hoàn thiện thể chế, chính sách về nông nghiệp, nông dân, nông thôn: Tiếp tục hoàn thiện chính sách, pháp luật về nông nghiệp, nông dân, nông thôn. Tạo đột phá trong nghiên cứu, ứng dụng khoa học - công nghệ, đổi mới sáng tạo, chuyển đổi số; đào tạo nhân lực trong nông nghiệp, nông thôn. Quản lý tài nguyên, bảo vệ môi trường nông thôn, nâng cao khả năng thích ứng với biến đổi khí hậu, phòng, chống thiên tai. Chủ động hội nhập, hợp tác quốc tế, mở rộng thị trường, thu hút nguồn lực và đẩy mạnh chuyển giao khoa học-công nghệ. Tăng cường sự lãnh đạo của Đảng, nâng cao hiệu lực, hiệu quả quản lý của Nhà nước, phát huy vai trò của Mặt trận Tổ quốc Việt Nam, Hội Nông dân và các tổ chức chính trị - xã hội, xã hội - nghề nghiệp ở nông thôn. </w:t>
      </w:r>
    </w:p>
    <w:p w:rsidR="00367BF4" w:rsidRPr="00367BF4" w:rsidRDefault="00367BF4" w:rsidP="00367BF4">
      <w:pPr>
        <w:spacing w:after="0" w:line="240" w:lineRule="auto"/>
        <w:ind w:firstLine="567"/>
        <w:jc w:val="both"/>
        <w:rPr>
          <w:rFonts w:eastAsia="Times New Roman" w:cs="Times New Roman"/>
          <w:b/>
          <w:szCs w:val="28"/>
        </w:rPr>
      </w:pPr>
      <w:r w:rsidRPr="00367BF4">
        <w:rPr>
          <w:rFonts w:eastAsia="Times New Roman" w:cs="Times New Roman"/>
          <w:b/>
          <w:szCs w:val="28"/>
        </w:rPr>
        <w:t xml:space="preserve">2. Nhiệm vụ, giải pháp tiếp tục đổi mới, phát triển và nâng cao hiệu quả kinh tế tập thể trong giai đoạn mới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Tính đến cuối năm 2021, cả nước có hơn 27.400 hợp tác xã (HTX), tăng 41% so với năm 2013, tạo việc làm thường xuyên cho khoảng 1 triệu lao động. Thu nhập của người lao động đạt trung bình 2,7 triệu đồng/người/tháng. Số HTX sản xuất kinh doanh có hiệu quả đạt 58% trong tổng số HTX đang hoạt động. Cả nước có trên 1.700 HTX sản xuất gắn với chuỗi giá trị, công nghiệp cao. Sau 20 năm thực hiện Nghị quyết Trung ương 5,  khóa IX về tiếp tục đổi mới, phát triển và nâng cao hiệu quả kinh tế tập thể (KTTT), khu vực KTTT nước ta đã có những chuyển biến tích cực. Nhận thức về phát triển KTTT, mà trọng tâm là hợp tác xã trong hệ thống chính trị và các tầng lớp nhân dân được nâng lên. Chính sách, pháp luật về KTTT được quan tâm xây dựng, hoàn thiện phù hợp với từng giai đoạn phát triển. Hợp tác xã đã cơ bản hoàn thành việc chuyển đổi sang mô hình kiểu mới theo quy định của pháp luật. Số lượng hợp tác xã, liên hiệp hợp tác xã thành lập mới tăng đáng kể, phát triển đa dạng hơn về ngành nghề, quy mô và trình độ, hỗ trợ tốt hơn cho các thành viên, tạo việc làm và nâng cao thu nhập thường xuyên cho người </w:t>
      </w:r>
      <w:r w:rsidRPr="00367BF4">
        <w:rPr>
          <w:rFonts w:eastAsia="Times New Roman" w:cs="Times New Roman"/>
          <w:szCs w:val="28"/>
        </w:rPr>
        <w:lastRenderedPageBreak/>
        <w:t>lao động. Tổ hợp tác với cơ cấu tổ chức gọn nhẹ, nội dung hoạt động đơn giản nhưng thiết thực, đáp ứng tốt hơn nhu cầu liên kết linh hoạt và mang tính ngắn hạn của người dân. Liên kết giữa các hợp tác xã với nhau, với doanh nghiệp và các tổ chức kinh tế khác bước đầu phát triển. Khu vực KTTT cơ bản đã khắc phục được tình trạng yếu kém kéo dài, góp phần xây dựng nông thôn mới, bảo đảm an sinh, an ninh, trật tự, an toàn xã hội, từng bước khẳng định vị trí, vai trò quan trọng trong nền kinh tế quốc dân.</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Tuy nhiên, khu vực KTTT của nước ta đến nay chưa phát triển như mục tiêu, yêu cầu nghị quyết đề ra. Đổi mới và nâng cao hiệu quả KTTT còn nhiều khó khăn. Tốc độ tăng trưởng, tỷ trọng đóng góp của khu vực KTTT vào GDP còn thấp và có xu hướng giảm. Hợp tác xã phát triển không đồng đều giữa các địa phương, vùng, miền, giữa khu vực nông nghiệp và phi nông nghiệp. Số lượng hợp tác xã tuy tăng, nhưng số lượng thành viên bình quân trong hợp tác xã có xu hướng giảm; không ít thành viên tham gia hoạt động của hợp tác xã còn hình thức, chưa thực hiện đầy đủ quyền và nghĩa vụ trong hợp tác xã. Năng lực nội tại của hợp tác xã còn yếu, hiệu quả hoạt động chưa cao, mô hình tổ chức lỏng lẻo, chưa phù hợp, trình độ cán bộ quản lý hợp tác xã còn hạn chế. Phần lớn hợp tác xã, tổ hợp tác có quy mô nhỏ, vốn ít, phạm vi hoạt động hẹp, năng lực cạnh tranh, lợi ích mang lại cho thành viên thấp; tính liên kết trong nội bộ hợp tác xã còn rất yếu; vấn đề nợ của hợp tác xã, tình trạng chiếm dụng vốn chưa được xử lý dứt điểm. Các hoạt động liên doanh, liên kết giữa các hợp tác xã và giữa hợp tác xã với các tổ chức kinh tế khác chưa phổ biến. Số lượng liên hiệp hợp tác xã ít; tổ chức và hoạt động của tổ hợp tác thiếu ổn định; nhiều hợp tác xã chuyển đổi, tổ chức lại mang tính hình thức, chưa thực sự chuyển biến về chất.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Nghị quyết số 20-NQ/TW, ngày 16/6/2022 của Ban Chấp hành Trung ương (khóa XIII) về "Tiếp tục đổi mới, phát triển và nâng cao hiệu quả kinh tế tập thể trong giai đoạn mới" nêu rõ các nhiệm vụ, giải pháp như sau:</w:t>
      </w:r>
    </w:p>
    <w:p w:rsidR="00367BF4" w:rsidRPr="00367BF4" w:rsidRDefault="00367BF4" w:rsidP="00367BF4">
      <w:pPr>
        <w:spacing w:after="0" w:line="240" w:lineRule="auto"/>
        <w:ind w:firstLine="567"/>
        <w:jc w:val="both"/>
        <w:rPr>
          <w:rFonts w:eastAsia="Times New Roman" w:cs="Times New Roman"/>
          <w:strike/>
          <w:szCs w:val="28"/>
        </w:rPr>
      </w:pPr>
      <w:r w:rsidRPr="00367BF4">
        <w:rPr>
          <w:rFonts w:eastAsia="Times New Roman" w:cs="Times New Roman"/>
          <w:szCs w:val="28"/>
        </w:rPr>
        <w:t>Tăng cường tuyên truyền, giáo dục nâng cao nhận thức cho cán bộ, đảng viên, nhất là người đứng đầu cơ quan, tổ chức và nhân dân, nhận thức đúng, đầy đủ về phát triển KTTT là yêu cầu và xu thế tất yếu trong nền kinh tế thị trường định hướng XHCN ở nước ta. KTTT với nhiều hình thức tổ chức đa dạng, kết hợp sức mạnh tập thể với sức mạnh của từng thành viên, trong đó: Tổ chức KTTT, nòng cốt là hợp tác xã là hình thức tổ chức sản xuất kinh doanh thuộc thành phần KTTT, là tổ chức kinh tế của những thể nhân, pháp nhân có nhu cầu, tự nguyện lập ra và tự chịu trách nhiệm về hoạt động của mình theo quy định của pháp luật. Tổ chức KTTT hoạt động bình đẳng với các tổ chức kinh tế khác. Nhà nước không can thiệp trực tiếp, mà chỉ quản lý hoạt động của tổ chức KTTT thông qua pháp luật và chính sách. Các tổ chức KTTT hoạt động có mục đích KT-XH và nhân văn, không chỉ vì lợi ích kinh tế thuần túy. KTTT coi trọng lợi ích của thành viên, sự hợp tác, liên kết, trợ giúp lẫn nhau, hướng đến làm giàu cho từng thành viên và tập thể…</w:t>
      </w:r>
      <w:r w:rsidRPr="00367BF4">
        <w:rPr>
          <w:rFonts w:eastAsia="Times New Roman" w:cs="Times New Roman"/>
          <w:strike/>
          <w:szCs w:val="28"/>
        </w:rPr>
        <w:t xml:space="preserve">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lastRenderedPageBreak/>
        <w:t>Sửa đổi, bổ sung, hoàn thiện các quy định pháp luật về KTTT như quy định về các loại hình tổ chức KTTT, tổ chức đại diện; quy định về hợp tác xã, phát triển thành viên, về nâng cao khả năng huy động vốn, tăng tích lũy vốn và tài sản chung; quy định về phát triển doanh nghiệp trong tổ chức KTTT. Bổ sung đầy đủ cơ sở pháp lý về kiểm toán, các quy định nhằm nâng cao tính minh bạch trong quản lý, điều hành; về nâng cao hiệu quả, chất lượng chính sách hỗ trợ của Nhà nước, quản lý nhà nước đối với KTTT. Có chính sách hỗ trợ, thu hút nguồn lực, ứng dụng khoa học - công nghệ, phát triển kinh tế tuần hoàn, kinh tế xanh, nông nghiệp hữu cơ, thích ứng biến đổi khí hậu, chuyển đổi số, mở rộng thị trường cho KTTT, bảo đảm thống nhất, đồng bộ. Sửa đổi, bổ sung các chính sách ưu đãi, hỗ trợ phát triển KTTT theo hướng xác định các tổ chức KTTT là chủ thể phù hợp để kết hợp giữa đầu tư của Nhà nước và đầu tư, quản lý của tập thể người dân (đầu tư công - quản trị cộng đồng). Nhà nước có cơ chế, chính sách đặc thù cho KTTT. Xây dựng chương trình tổng thể về phát triển KTTT trên phạm vi toàn quốc để thống nhất, tập trung nguồn lực, phù hợp với yêu cầu phát triển của KTTT và điều kiện phát triển KT-XH của đất nước trong từng thời kỳ với một số chính sách cụ thể về phát triển nguồn nhân lực, đất đai, tài chính, tín dụng, khoa học - công nghệ, hỗ trợ về thông tin kinh tế, kỹ năng tiếp thị và nghiên cứu thị trường, đầu tư phát triển kết cấu hạ tầng, bảo hiểm xã hội.</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Có chính sách phù hợp để tập trung giải quyết dứt điểm các vấn đề tồn đọng của KTTT gồm: Nợ tồn đọng kéo dài trong hợp tác xã (nợ nhà nước, nợ ngân hàng, nợ các tổ chức kinh tế khác, nợ thành viên, thành viên nợ hợp tác xã...); các quan hệ về tài sản của hợp tác xã, đặc biệt là những tài sản liên quan đến đất đai. Rà soát, sắp xếp lại các hợp tác xã hoạt động không hiệu quả; xử lý dứt điểm các hợp tác xã ngừng hoạt động, chờ giải thể và các hợp tác xã chưa chuyển đổi, tổ chức lại theo quy định của pháp luật; cơ cấu lại các hợp tác xã tín dụng, nhất là xử lý một số hợp tác xã tín dụng yếu kém. Phát huy tinh thần dân chủ, tự nguyện, tự chủ, tự chịu trách nhiệm của thành viên trong các tổ chức KTTT; kết hợp động lực kinh tế với động lực tinh thần, khơi dậy phong trào quần chúng nhân dân tham gia phát triển KTTT. Khuyến khích mở rộng thành viên, đa dạng hóa các loại thành viên trong tổ chức KTTT (thành viên chính thức và thành viên liên kết) tùy theo nhu cầu, khả năng đóng góp và mức độ tham gia. Thành viên tham gia tổ chức KTTT là chủ thể kinh tế tự chủ, được hưởng đầy đủ quyền lợi và chịu trách nhiệm đối với phần đóng góp của mình theo quy định của pháp luật và điều lệ của tổ chức…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Tăng cường quản lý nhà nước đối với KTTT trong phạm vi cả nước; Bộ Kế hoạch và Đầu tư là cơ quan giúp Chính phủ thống nhất quản lý nhà nước về KTTT. Xây dựng bộ máy quản lý nhà nước về KTTT tập trung, thống nhất, xuyên suốt trong chỉ đạo điều hành từ Trung ương đến địa phương. Xây dựng đội ngũ cán bộ quản lý có chuyên môn, nghiệp vụ, được đào tạo chuyên sâu về KTTT, có tư tưởng chính trị vững vàng, có năng lực xây dựng và tổ chức thực hiện hiệu quả pháp luật, </w:t>
      </w:r>
      <w:r w:rsidRPr="00367BF4">
        <w:rPr>
          <w:rFonts w:eastAsia="Times New Roman" w:cs="Times New Roman"/>
          <w:szCs w:val="28"/>
        </w:rPr>
        <w:lastRenderedPageBreak/>
        <w:t xml:space="preserve">cơ chế, chính sách, chiến lược, quy hoạch, kế hoạch để KTTT phát triển lành mạnh, đúng định hướng. Tăng cường minh bạch trong quản lý nhà nước về KTTT, ứng dụng công nghệ thông tin, chuyển đổi số trong quản lý, từng bước xây dựng, hoàn thiện hệ thống cơ sở dữ liệu quốc gia về KTTT, liên thông với hệ thống đăng ký kinh doanh và đăng ký thuế. Tăng cường hiệu lực, hiệu quả công tác giám sát, thanh tra, kiểm tra, trách nhiệm giải trình của các cơ quan, tổ chức đối với việc chấp hành chủ trương, đường lối của Đảng, chính sách, pháp luật của Nhà nước về phát triển KTTT, kịp thời phát hiện và xử lý nghiêm hành vi vi phạm…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Mặt trận Tổ quốc Việt Nam và các tổ chức chính trị - xã hội, xã hội - nghề nghiệp tuyên truyền, vận động để hội viên, đoàn viên và nhân dân nắm chắc chủ trương, đường lối của Đảng, chính sách, pháp luật của Nhà nước về KTTT; phối hợp tổ chức vận động, phát triển các loại hình KTTT… </w:t>
      </w:r>
    </w:p>
    <w:p w:rsidR="00367BF4" w:rsidRPr="00367BF4" w:rsidRDefault="00367BF4" w:rsidP="00367BF4">
      <w:pPr>
        <w:spacing w:after="0" w:line="240" w:lineRule="auto"/>
        <w:ind w:firstLine="567"/>
        <w:jc w:val="both"/>
        <w:rPr>
          <w:rFonts w:eastAsia="Times New Roman" w:cs="Times New Roman"/>
          <w:b/>
          <w:szCs w:val="28"/>
        </w:rPr>
      </w:pPr>
      <w:r w:rsidRPr="00367BF4">
        <w:rPr>
          <w:rFonts w:eastAsia="Times New Roman" w:cs="Times New Roman"/>
          <w:b/>
          <w:szCs w:val="28"/>
        </w:rPr>
        <w:t xml:space="preserve">3. Bảo đảm an ninh nguồn nước và an toàn đập, hồ chứa nước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Bảo đảm an ninh nguồn nước và an toàn đập, hồ chứa nước luôn được Đảng, Nhà nước quan tâm lãnh đạo, chỉ đạo, đạt được nhiều kết quả tích cực, cơ bản đáp ứng yêu cầu phát triển kinh tế - xã hội, bảo đảm quốc phòng, an ninh, đời sống, sinh hoạt của người dân. Hệ thống pháp luật, cơ chế, chính sách về bảo đảm an ninh nguồn nước, an toàn đập, hồ chứa nước từng bước được hoàn thiện; nguồn lực đầu tư xây dựng kết cấu hạ tầng ngành nước được tăng cường. Công tác điều tra cơ bản, quy hoạch liên quan đến nguồn nước được quan tâm. Công tác thanh tra, kiểm tra hoạt động quản lý, khai thác, sử dụng nước, xả nước thải vào nguồn nước, chấp hành pháp luật về tài nguyên nước, thuỷ lợi, phòng, chống thiên tai được thực hiện thường xuyên. Hợp tác quốc tế được mở rộng, nhất là với các quốc gia có chung nguồn nước với Việt Nam trong khai thác, sử dụng hiệu quả, bền vững nguồn nước xuyên biên giới.</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Tuy nhiên, công tác bảo đảm an ninh nguồn nước, an toàn đập, hồ chứa nước còn nhiều hạn chế. Công tác quản trị nguồn nước còn yếu, chưa hiệu quả; ý thức, trách nhiệm của nhiều cơ quan, tổ chức, địa phương và người dân trong việc quản lý, khai thác, sử dụng nước chưa cao; ô nhiễm nguồn nước ngày càng nghiêm trọng. Hệ thống pháp luật, cơ chế, chính sách liên quan đến bảo đảm an ninh nguồn nước, an toàn đập, hồ chứa nước còn thiếu, chưa đồng bộ. Nhiều công trình thuỷ lợi xuống cấp; rủi ro, mất an toàn đập, hồ chứa nước có xu hướng gia tăng. Việc phát triển công nghiệp, đô thị chưa gắn với bảo đảm an ninh nguồn nước, làm suy giảm số lượng, chất lượng nguồn nước, thậm chí gây mất an ninh nguồn nước. Hợp tác quốc tế về bảo đảm an ninh nguồn nước hiệu quả chưa cao...</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Nguyên nhân của những hạn chế, yếu kém nêu trên chủ yếu là do: Nhận thức của một bộ phận cán bộ, đảng viên và người dân về bảo đảm an ninh nguồn nước, an toàn đập, hồ chứa nước, bảo vệ, sử dụng nước chưa đầy đủ. Việt Nam phụ thuộc nhiều vào nguồn nước từ các quốc gia thượng nguồn. Công tác quản lý nhà nước còn nhiều bất cập, thiếu thống nhất; thể chế, chính sách chậm được sửa đổi, bổ </w:t>
      </w:r>
      <w:r w:rsidRPr="00367BF4">
        <w:rPr>
          <w:rFonts w:eastAsia="Times New Roman" w:cs="Times New Roman"/>
          <w:szCs w:val="28"/>
        </w:rPr>
        <w:lastRenderedPageBreak/>
        <w:t>sung, hoàn thiện; chưa chú trọng đến quản trị nguồn nước, kinh tế tài nguyên nước; nguồn lực đầu tư cho bảo đảm an ninh nguồn nước và an toàn đập, hồ chứa nước chủ yếu là ngân sách nhà nước, huy động nguồn lực xã hội còn hạn chế; chế tài xử lý các hành vi vi phạm chưa nghiêm...</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Ngày 23/6/2022, Bộ Chính trị ban hành Kết luận số 36-KL/TW về bảo đảm an ninh nguồn nước và an toàn đập, hồ chứa nước đến năm 2030, tầm nhìn đến năm 2045, nêu rõ mục tiêu, giải pháp sau:</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Mục tiêu tổng quát: Bảo đảm số lượng, chất lượng nước phục vụ dân sinh trong mọi tình huống; đáp ứng nhu cầu sử dụng nước cho sản xuất, kinh doanh của các ngành, lĩnh vực, đặc biệt là các ngành kinh tế quan trọng, thiết yếu; mọi người dân, mọi đối tượng được tiếp cận, sử dụng nước công bằng, hợp lý. Chủ động tích trữ, điều hoà nguồn nước, khai thác, sử dụng hiệu quả đi đôi với bảo đảm an toàn đập, hồ chứa nước; ứng phó hiệu quả với các thảm hoạ, thiên tai liên quan đến nước, thích ứng với biến đổi khí hậu; bảo vệ môi trường, khắc phục tình trạng suy thoái, cạn kiệt, ô nhiễm nguồn nước.</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Mục tiêu cụ thể đến năm 2025: Hoàn thành việc lập quy hoạch ngành quốc gia, quy hoạch có tính chất kỹ thuật chuyên ngành liên quan đến nước; 95% hộ gia đình ở thành thị và 60% hộ gia đình ở nông thôn được sử dụng nước sạch theo quy chuẩn; giải quyết cơ bản tình trạng thiếu nước sinh hoạt, nước cho sản xuất, đặc biệt là các tỉnh vùng Đồng bằng sông Cửu Long, Tây Nguyên, Nam Trung Bộ, miền núi phía Bắc; cơ bản sửa chữa, nâng cấp bảo đảm an toàn các đập, hồ chứa nước bị hư hỏng, xuống cấp, chưa đủ khả năng chống lũ theo thiết kế. Đến năm 2030 là cân đối đủ nước phục vụ dân sinh và phát triển kinh tế - xã hội; 100% hộ gia đình ở thành thị và 80% hộ gia đình ở nông thôn được sử dụng nước sạch theo quy chuẩn. Giải quyết căn bản nước sinh hoạt cho các đảo có đông dân cư; hoàn thiện đồng bộ hệ thống công trình điều tiết nước mặn, nước ngọt, tích trữ nước trên các lưu vực sông lớn; hoàn thành sửa chữa, nâng cấp các đập, hồ chứa nước hư hỏng, xuống cấp, thiếu năng lực phòng, chống lũ; bước đầu khắc phục tình trạng suy thoái, ô nhiễm nguồn nước nghiêm trọng tại một số lưu vực sông, hệ thống công trình thuỷ lợi lớn; chủ động phòng, chống thiên tai, thích ứng với biến đổi khí hậu; xây dựng và vận hành hệ thống theo dõi, đánh giá, giám sát an ninh nguồn nước quốc gia theo phương thức quản trị nguồn nước của quốc tế. Đến năm 2045 là chủ động được nguồn nước phục vụ dân sinh và phát triển kinh tế - xã hội; bảo đảm hộ gia đình ở nông thôn được sử dụng nước sạch theo quy chuẩn; dự báo, cảnh báo dài hạn để xử lý ô nhiễm, suy thoái, cạn kiệt nguồn nước, ứng phó với thiên tai, biến đổi khí hậu; kiểm soát và khắc phục tình trạng suy thoái, ô nhiễm nguồn nước tại các lưu vực sông, hệ thống công trình thuỷ lợi; hoàn thiện chính sách về nước đồng bộ, thống nhất liên ngành, liên vùng, bảo đảm an ninh nguồn nước.</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Nhiệm vụ và giải pháp chủ yếu: Tăng cường công tác tuyên truyền, giáo dục để cán bộ, đảng viên và nhân dân, nhất là người đứng đầu cấp ủy, tổ chức đảng, </w:t>
      </w:r>
      <w:r w:rsidRPr="00367BF4">
        <w:rPr>
          <w:rFonts w:eastAsia="Times New Roman" w:cs="Times New Roman"/>
          <w:szCs w:val="28"/>
        </w:rPr>
        <w:lastRenderedPageBreak/>
        <w:t xml:space="preserve">chính quyền, đoàn thể các cấp nhận thức đúng, đầy đủ về bảo đảm an ninh nguồn nước và an toàn đập, hồ chứa nước là nhiệm vụ quan trọng, vừa cấp bách, vừa lâu dài, liên quan trực tiếp đến đời sống nhân dân, phát triển kinh tế - xã hội, bảo đảm quốc phòng, an ninh đất nước, trên cơ sở đó xác định rõ trách nhiệm, nghĩa vụ của các cấp, các ngành và người dân trong thực hiện công tác này. Phát huy vai trò giám sát của người dân, cộng đồng; vai trò của Mặt trận Tổ quốc Việt Nam và các tổ chức chính trị - xã hội, tổ chức xã hội, nghề nghiệp trong tuyên truyền, vận động nhân dân quản lý, chủ động tích trữ, sử dụng nước tiết kiệm, hiệu quả. Rà soát, hoàn thiện hệ thống pháp luật, cơ chế, chính sách liên quan đến an ninh nguồn nước và an toàn đập, hồ chứa nước bảo đảm đồng bộ, khả thi. Sắp xếp, kiện toàn hệ thống tổ chức, bộ máy quản lý nguồn nước bảo đảm thống nhất, tinh gọn, hiệu lực, hiệu quả từ Trung ương đến địa phương và sự phối hợp đồng bộ giữa các ngành, các cấp, địa phương; rà soát, thống nhất đơn vị quản lý, khai thác thuỷ lợi vùng, quốc gia. Xây dựng và hoàn thiện chính sách khuyến khích thu hút nguồn lực để đầu tư các dự án trọng điểm liên kết, kết nối nguồn nước liên tỉnh, liên vùng; kết hợp lồng ghép nguồn lực từ các chương trình mục tiêu quốc gia, chương trình, dự án đầu tư công để đầu tư xây dựng đập, hồ chứa nước đa mục tiêu; hoàn thiện hệ thống hạ tầng thuỷ lợi, cấp nước sinh hoạt, bảo đảm năng lực cấp nước, tiêu thoát nước, kết hợp phục hồi nguồn nước suy thoái, ô nhiễm.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Tăng cường công tác quy hoạch, điều tra cơ bản, giám sát, kiểm kê, đánh giá trữ lượng nguồn nước, phục vụ hiệu quả công tác quản lý, chỉ đạo, điều hành. Xây dựng và vận hành hệ thống Cơ sở dữ liệu quốc gia về nguồn nước trên cơ sở đẩy mạnh ứng dụng khoa học - công nghệ, chuyển đổi số, bảo đảm sự kết nối, chia sẻ hiệu quả giữa các cấp, bộ, ngành, địa phương. Cơ cấu lại các ngành, lĩnh vực sản xuất sử dụng nhiều nước; thực hiện các giải pháp tiết kiệm nước, tái sử dụng nước, theo dõi, giám sát chặt chẽ việc sử dụng nước sinh hoạt và sản xuất để giảm thất thoát, lãng phí; tăng cường thực hiện các biện pháp sử dụng nước trong sản xuất nông nghiệp tiết kiệm, hiệu quả. Triển khai các giải pháp công nghệ lọc nước biển, bổ sung nguồn nước cho sản xuất nông nghiệp tại các vùng khan hiếm nước, xâm nhập mặn.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Xây dựng, hoàn thiện công trình cấp, thoát nước sinh hoạt nông thôn, đô thị, ưu tiên đầu tư cho khu vực chịu ảnh hưởng của thiên tai, vùng đồng bào dân tộc thiểu số, miền núi, biên giới, hải đảo; thực hiện giải pháp tích trữ nước quy mô nhỏ, hộ gia đình phục vụ sinh hoạt và sản xuất. Hoàn thành sửa chữa, nâng cấp các đập, hồ chứa nước hư hỏng, xuống cấp, chưa đủ khả năng thoát lũ theo thiết kế, trong đó ưu tiên các công trình có nguy cơ rủi ro cao, lưu vực tập trung dòng chảy nhanh. Khẩn trương nghiên cứu xây dựng mới các đập, hồ chứa nước, công trình điều tiết nguồn nước tại các vùng thường xuyên xảy ra hạn hán, thiếu nước, xâm nhập mặn, lũ, ngập lụt để tích trữ nước, chuyển nước, kiểm soát mặn, cắt giảm lũ; nâng cấp, </w:t>
      </w:r>
      <w:r w:rsidRPr="00367BF4">
        <w:rPr>
          <w:rFonts w:eastAsia="Times New Roman" w:cs="Times New Roman"/>
          <w:szCs w:val="28"/>
        </w:rPr>
        <w:lastRenderedPageBreak/>
        <w:t xml:space="preserve">hiện đại hoá các công trình phòng, chống tác hại của nước, bảo đảm an toàn chống lũ, nước biển dâng kết hợp kiểm soát nguồn nước. </w:t>
      </w:r>
    </w:p>
    <w:p w:rsidR="00367BF4" w:rsidRPr="00367BF4" w:rsidRDefault="00367BF4" w:rsidP="00367BF4">
      <w:pPr>
        <w:spacing w:after="0" w:line="240" w:lineRule="auto"/>
        <w:ind w:firstLine="567"/>
        <w:jc w:val="both"/>
        <w:rPr>
          <w:rFonts w:eastAsia="Times New Roman" w:cs="Times New Roman"/>
          <w:spacing w:val="-4"/>
          <w:szCs w:val="28"/>
        </w:rPr>
      </w:pPr>
      <w:r w:rsidRPr="00367BF4">
        <w:rPr>
          <w:rFonts w:eastAsia="Times New Roman" w:cs="Times New Roman"/>
          <w:spacing w:val="-4"/>
          <w:szCs w:val="28"/>
        </w:rPr>
        <w:t xml:space="preserve">Tăng cường năng lực, chất lượng dự báo, cảnh báo thiên tai, nguy cơ mất an ninh nguồn nước theo thời gian thực; kịp thời cung cấp thông tin, dữ liệu, bảo đảm chủ động trong phát triển kinh tế - xã hội và dân sinh. Tăng cường chuyển đổi số, hiện đại hoá công tác quản lý, vận hành hệ thống công trình thuỷ lợi, thuỷ điện, hệ thống chống ngập đô thị, công nghiệp, khu dân cư; quản lý chặt chẽ việc khai thác cát, sỏi lòng sông, hồ chứa nước. Nâng cấp, hiện đại hoá mạng lưới quan trắc khí tượng thuỷ văn, chú trọng mạng lưới trạm thuỷ văn chuyên dùng, hệ thống giám sát mặn, động đất, sóng thần. Xây dựng, củng cố, nâng cấp bảo đảm an toàn công trình thuỷ lợi, thuỷ điện.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Xây dựng cơ chế, chính sách đào tạo, đãi ngộ, thu hút nguồn nhân lực chất lượng cao; tổ chức triển khai thực hiện hiệu quả Chương trình khoa học công nghệ phục vụ bảo đảm an ninh nguồn nước và an toàn đập, hồ chứa nước. Kiểm soát, giám sát chặt chẽ các nguồn thải, chất thải xả vào nguồn nước, nhất là nước thải sinh hoạt, công nghiệp. Đẩy nhanh việc cải tạo, phục hồi các nguồn nước bị suy thoái, ô nhiễm nghiêm trọng, bảo vệ nguồn nước. Bảo vệ và nâng cao chất lượng rừng, đặc biệt là rừng phòng hộ đầu nguồn; đẩy nhanh việc phủ xanh đất trống, đồi núi trọc, khu vực sa mạc hoá; bảo vệ và phát triển bền vững nguồn sinh thuỷ, các hệ sinh thái ngập nước quan trọng. Đẩy mạnh hợp tác quốc tế về bảo đảm an ninh nguồn nước… </w:t>
      </w:r>
    </w:p>
    <w:p w:rsidR="00367BF4" w:rsidRPr="00367BF4" w:rsidRDefault="00367BF4" w:rsidP="00367BF4">
      <w:pPr>
        <w:spacing w:after="0" w:line="240" w:lineRule="auto"/>
        <w:ind w:firstLine="567"/>
        <w:jc w:val="both"/>
        <w:rPr>
          <w:rFonts w:eastAsia="Times New Roman" w:cs="Times New Roman"/>
          <w:b/>
          <w:szCs w:val="28"/>
        </w:rPr>
      </w:pPr>
      <w:r w:rsidRPr="00367BF4">
        <w:rPr>
          <w:rFonts w:eastAsia="Times New Roman" w:cs="Times New Roman"/>
          <w:b/>
          <w:szCs w:val="28"/>
        </w:rPr>
        <w:t>4. Về bảo tồn và phát triển làng nghề Việt Nam giai đoạn 2021 - 2030</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Hiện nay, cả nước có trên 5.400 làng nghề và làng có nghề, trong đó có khoảng gần 2.000 làng nghề truyền thống, với 115 nghề truyền thống đã được công nhận, thu hút khoảng 11 triệu lao động tham gia. Trong hơn 30 năm đổi mới kinh tế, làng nghề đã có nhiều đóng góp tích cực vào công cuộc phát triển của đất nước. Làng nghề còn là nơi lưu truyền nghề truyền thống, là nơi lưu giữ những nét văn hóa độc đáo, là một điểm đến của du lịch. Bảo tồn và phát triển làng nghề có vai trò quan trọng trong thúc đẩy chuyển dịch cơ cấu kinh tế, lao động nông thôn, tạo việc làm và nâng cao đời sống của người dân; bảo vệ, giữ gìn cảnh quan, không gian làng nghề, đẩy nhanh sự nghiệp công nghiệp hóa, hiện đại hóa đất nước, xây dựng nông thôn mới.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Nhận thức được vai trò quan trọng của bảo tồn và phát triển làng nghề đối với nền kinh tế, Đảng và Nhà nước đã có những chủ trương, quyết sách quan trọng về vấn đề này. Gần đây nhất, ngày 07/7/2022, Thủ tướng đã ký Quyết định số 801/QĐ-TTg phê duyệt Chương trình bảo tồn và phát triển làng nghề Việt Nam giai đoạn 2021 - 2030, nêu rõ: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Mục tiêu chung: Bảo tồn và phát triển nghề, làng nghề nhằm gìn giữ và phát huy các giá trị, bản sắc văn hóa truyền thống của làng nghề Việt Nam, thúc đẩy phát triển sản xuất, nâng cao năng lực cạnh tranh, giá trị gia tăng cho các sản phẩm </w:t>
      </w:r>
      <w:r w:rsidRPr="00367BF4">
        <w:rPr>
          <w:rFonts w:eastAsia="Times New Roman" w:cs="Times New Roman"/>
          <w:szCs w:val="28"/>
        </w:rPr>
        <w:lastRenderedPageBreak/>
        <w:t>làng nghề; tạo việc làm, tăng thu nhập cho người dân; bảo vệ cảnh quan, không gian và môi trường, xây dựng các khu dân cư, làng văn hóa, góp phần thúc đẩy phát triển kinh tế - xã hội nông thôn bền vững.</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Mục tiêu cụ thể đến năm 2025: Khôi phục, bảo tồn được ít nhất 56 nghề truyền thống và 85 làng nghề truyền thống có nguy cơ mai một, thất truyền; công nhận mới 116 nghề và 40 làng nghề truyền thống; phát triển 181 làng nghề gắn với du lịch; trên 70% làng nghề, làng nghề truyền thống hoạt động có hiệu quả; 80% người lao động trong làng nghề được đào tạo, đào tạo lại, đào tạo nâng cao kỹ năng nghề, kỹ năng vệ sinh an toàn lao động và kiến thức công nghệ thông tin cơ bản; có ít nhất 50% làng nghề truyền thống có sản phẩm được phân hạng theo Chương trình mỗi xã một sản phẩm (OCOP); có ít nhất 30% số làng nghề có sản phẩm được bảo hộ sở hữu thương hiệu; tốc độ tăng giá trị sản xuất bình quân các làng nghề đạt khoảng 10%/năm; thu nhập bình quân của lao động tăng ít nhất 1,5 lần so với năm 2020; nâng kim ngạch xuất khẩu hàng thủ công mỹ nghệ của các làng nghề đạt khoảng 4 tỷ USD; 100% cơ sở, hộ gia đình sản xuất trong làng nghề đáp ứng các quy định về bảo vệ môi trường. Đến năm 2030: Khôi phục, bảo tồn được ít nhất 129 nghề truyền thống và 208 làng nghề truyền thống có nguy cơ mai một, thất truyền; công nhận mới 213 nghề và 96 làng nghề truyền thống; phát triển khoảng 301 làng nghề gắn với du lịch; trên 80% làng nghề, làng nghề truyền thống hoạt động có hiệu quả; 100% người lao động trong làng nghề được đào tạo, đào tạo lại, đào tạo nâng cao kỹ năng nghề, kỹ năng vệ sinh an toàn lao động và kiến thức công nghệ thông tin cơ bản; có ít nhất 50% số làng nghề có sản phẩm được bảo hộ sở hữu thương hiệu. tốc độ tăng giá trị sản xuất bình quân các làng nghề đạt khoảng 10%/năm; nâng kim ngạch xuất khẩu hàng thủ công mỹ nghệ của các làng nghề đạt khoảng 6 tỷ USD; 100% cơ sở, hộ gia đình sản xuất trong làng nghề đáp ứng các quy định về bảo vệ môi trường.</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Nhiệm vụ của Chương trình: Duy trì và phát triển đội ngũ nghệ nhân, thợ giỏi, tạo nòng cốt thúc đẩy công tác đào tạo, truyền nghề, thực hành nghề thủ công truyền thống, lan tỏa các giá trị của di sản văn hóa nghề truyền thống trong cộng đồng, đặc biệt đối với thế hệ trẻ; bảo tồn, phát triển kỹ năng nghề truyền thống, sáng tạo thêm nhiều sản phẩm, tác phẩm mới có giá trị.  Sưu tầm, lưu giữ và tổ chức trưng bày các tác phẩm tiêu biểu, đặc sắc của các nghệ nhân, thợ giỏi, nghệ nhân tiêu biểu các cấp. Tổ chức phong tặng, tôn vinh các danh hiệu thợ giỏi, nghệ nhân, nghệ nhân ưu tú, nghệ nhân nhân dân, bảng vàng gia tộc nghề truyền thống Việt Nam và các sản phẩm làng nghề tiêu biểu. Điều tra, rà soát, thống kê, đánh giá, phân loại danh mục các nghề truyền thống, làng nghề truyền thống và đẩy nhanh tiến độ lập hồ sơ, xét công nhận; xây dựng kế hoạch khôi phục, bảo tồn đối với nghề truyền thống, làng nghề truyền thống đang có nguy cơ mai một, thất truyền; hỗ trợ các nghề, làng nghề truyền thống đã được công nhận và đang hoạt động hiệu quả để phát triển và nhân rộng. Phục hồi, tôn tạo các di tích liên quan </w:t>
      </w:r>
      <w:r w:rsidRPr="00367BF4">
        <w:rPr>
          <w:rFonts w:eastAsia="Times New Roman" w:cs="Times New Roman"/>
          <w:szCs w:val="28"/>
        </w:rPr>
        <w:lastRenderedPageBreak/>
        <w:t>đến giá trị văn hóa nghề, làng nghề truyền thống (nhà thờ tổ nghề, không gian làm nghề, cảnh quan làng nghề...); khôi phục, tổ chức các lễ hội, hoạt động văn hóa dân gian, phát huy các giá trị văn hóa của nghề và làng nghề trong xây dựng môi trường du lịch văn hóa. Tổ chức liên kết chuỗi giá trị, phát triển làng nghề gắn với du lịch, góp phần phát triển kinh tế nông thôn và xây dựng nông thôn mới. Đối với các làng đã có nghề: Khôi phục, bảo tồn, lưu giữ nét văn hóa truyền thống trong sản phẩm, bí quyết nghề, đồng thời thiết kế những sản phẩm mới phù hợp với thị trường, nâng cao năng lực sản xuất, tiêu thụ sản phẩm và bảo vệ cảnh quan, môi trường làng nghề. Đối với các làng chưa có nghề: Thúc đẩy phát triển ngành nghề sản xuất, kinh doanh các sản phẩm theo nhu cầu của thị trường, phù hợp với điều kiện thực tế của địa phương thông qua các hình thức du nhập, học tập, phổ biến, nhân rộng từ các mô hình, làng nghề, làng nghề truyền thống đang hoạt động có hiệu quả.</w:t>
      </w:r>
    </w:p>
    <w:p w:rsidR="00367BF4" w:rsidRPr="00367BF4" w:rsidRDefault="00367BF4" w:rsidP="00367BF4">
      <w:pPr>
        <w:spacing w:after="0" w:line="240" w:lineRule="auto"/>
        <w:ind w:firstLine="567"/>
        <w:jc w:val="both"/>
        <w:rPr>
          <w:rFonts w:eastAsia="Times New Roman" w:cs="Times New Roman"/>
          <w:b/>
          <w:szCs w:val="28"/>
        </w:rPr>
      </w:pPr>
      <w:r w:rsidRPr="00367BF4">
        <w:rPr>
          <w:rFonts w:eastAsia="Times New Roman" w:cs="Times New Roman"/>
          <w:b/>
          <w:szCs w:val="28"/>
        </w:rPr>
        <w:t>5. Bộ tiêu chí xã nông thôn mới giai đoạn 2021 - 2025</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Bộ tiêu chí quốc gia về xã nông thôn mới giai đoạn 2021 - 2025, gồm các tiêu chí sau: Nhóm Quy hoạch có 1 tiêu chí (1- Quy hoạch); nhóm Hạ tầng kinh tế - xã hội có 8 tiêu chí (2- Giao thông; 3- Thủy lợi và phòng, chống thiên tai; 4- Điện; 5- Trường học; 6- Cơ sở vật chất văn hóa; 7- Cơ sở hạ tầng thương mại nông thôn; 8- Thông tin và truyền thông; 9- Nhà ở dân cư); nhóm Kinh tế và tổ chức sản xuất có 4 tiêu chí (10-Thu nhập; 11- Nghèo đa chiều; 12- Lao động; 13- Tổ chức sản xuất và phát triển kinh tế nông thôn); nhóm Văn hóa - Xã hội - Môi trường có 6 tiêu chí (14- Giáo dục và Đào tạo; 15- Y tế; 16- Văn hóa; 17- Môi trường và an toàn thực phẩm; 18- Hệ thống chính trị và tiếp cận pháp luật; 19- Quốc phòng và an ninh).</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Với mỗi tiêu chí, có quy định cụ thể chỉ tiêu chung cũng như chỉ tiêu theo từng vùng: Trung du miền núi phía Bắc; Đồng bằng sông Hồng; Bắc Trung Bộ; Duyên hải Nam Trung Bộ; Tây Nguyên; Đông Nam Bộ; Đồng bằng sông Cửu Long. Trong đó, tiêu chí thủy lợi và phòng, chống thiên tai có các nội dung: Tỷ lệ diện tích đất sản xuất nông nghiệp được tưới và tiêu nước chủ động đạt từ 80% trở lên; đảm bảo yêu cầu chủ động về phòng chống thiên tai theo phương châm 4 tại chỗ. Về thu nhập bình quân đầu người năm 2022, chỉ tiêu chung là từ 48 triệu đồng/người trở lên; còn đối với vùng Trung du miền núi phía Bắc, vùng Bắc Trung bộ là từ 39 triệu đồng/người trở lên; vùng Đồng bằng sông Hồng là từ 53 triệu đồng/người trở lên; vùng Duyên hải Nam Trung Bộ, Tây Nguyên là từ 44 triệu đồng/người trở lên; vùng Đông Nam Bộ là từ 62 triệu đồng/người trở lên; Đồng bằng sông Cửu Long là từ 53 triệu đồng/người trở lên.</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Tiêu chí tổ chức sản xuất và phát triển kinh tế nông thôn gồm các nội dung: Xã có hợp tác xã hoạt động hiệu quả và theo đúng quy định của Luật Hợp tác xã; xã có mô hình liên kết sản xuất gắn với tiêu thụ sản phẩm chủ lực đảm bảo bền vững; thực hiện truy xuất nguồn gốc các sản phẩm chủ lực của xã gắn với xây dựng vùng nguyên liệu và được chứng nhận VietGAP hoặc tương đương; có kế hoạch và triển khai kế hoạch bảo tồn, phát triển làng nghề, làng nghề truyền thống (nếu có) </w:t>
      </w:r>
      <w:r w:rsidRPr="00367BF4">
        <w:rPr>
          <w:rFonts w:eastAsia="Times New Roman" w:cs="Times New Roman"/>
          <w:szCs w:val="28"/>
        </w:rPr>
        <w:lastRenderedPageBreak/>
        <w:t>gắn với hạ tầng về bảo vệ môi trường; có tổ khuyến nông cộng đồng hoạt động hiệu quả.</w:t>
      </w:r>
    </w:p>
    <w:p w:rsidR="00367BF4" w:rsidRPr="00367BF4" w:rsidRDefault="00367BF4" w:rsidP="00367BF4">
      <w:pPr>
        <w:spacing w:after="0" w:line="240" w:lineRule="auto"/>
        <w:ind w:firstLine="567"/>
        <w:jc w:val="both"/>
        <w:rPr>
          <w:rFonts w:eastAsia="Times New Roman" w:cs="Times New Roman"/>
          <w:spacing w:val="-4"/>
          <w:szCs w:val="28"/>
        </w:rPr>
      </w:pPr>
      <w:r w:rsidRPr="00367BF4">
        <w:rPr>
          <w:rFonts w:eastAsia="Times New Roman" w:cs="Times New Roman"/>
          <w:spacing w:val="-4"/>
          <w:szCs w:val="28"/>
        </w:rPr>
        <w:t>Tiêu chí về y tế có 4 nội dung: Tỷ lệ người dân tham gia bảo hiểm y tế (áp dụng đạt cho cả nam và nữ); xã đạt tiêu chí quốc gia về y tế; tỷ lệ trẻ em dưới 5 tuổi bị suy dinh dưỡng thể thấp còi (chiều cao theo tuổi); tỷ lệ dân số có sổ khám chữa bệnh điện tử.</w:t>
      </w:r>
    </w:p>
    <w:p w:rsidR="00367BF4" w:rsidRPr="00367BF4" w:rsidRDefault="00367BF4" w:rsidP="00367BF4">
      <w:pPr>
        <w:spacing w:after="0" w:line="240" w:lineRule="auto"/>
        <w:ind w:firstLine="567"/>
        <w:jc w:val="both"/>
        <w:rPr>
          <w:rFonts w:eastAsia="Times New Roman" w:cs="Times New Roman"/>
          <w:spacing w:val="4"/>
          <w:szCs w:val="28"/>
        </w:rPr>
      </w:pPr>
      <w:r w:rsidRPr="00367BF4">
        <w:rPr>
          <w:rFonts w:eastAsia="Times New Roman" w:cs="Times New Roman"/>
          <w:spacing w:val="4"/>
          <w:szCs w:val="28"/>
        </w:rPr>
        <w:t>Tiêu chí môi trường và an toàn thực phẩm gồm các nội dung: Tỷ lệ cơ sở sản xuất - kinh doanh, nuôi trồng thủy sản, làng nghề đảm bảo quy định về bảo vệ môi trường; cảnh quan, không gian xanh - sạch - đẹp, an toàn; không để xảy ra tồn đọng nước thải sinh hoạt tại các khu dân cư tập trung; đất cây xanh sử dụng công cộng tại điểm dân cư nông thôn; tỷ lệ chất thải rắn sinh hoạt và chất thải rắn không nguy hại trên địa bàn được thu gom, xử lý theo quy định; tỷ lệ hộ gia đình và cơ sở sản xuất, kinh doanh thực phẩm tuân thủ các quy định về đảm bảo an toàn thực phẩm; tỷ lệ chất thải nhựa phát sinh trên địa bàn được thu gom, tái sử dụng, tái chế, xử lý theo quy định;...</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Bộ tiêu chí quốc gia về xã nông thôn mới nâng cao giai đoạn 2021 - 2025, gồm các tiêu chí sau: 1- Là xã đạt chuẩn nông thôn mới (đáp ứng đầy đủ mức đạt chuẩn theo yêu cầu của Bộ tiêu chí quốc gia về xã nông thôn mới giai đoạn 2021 - 2025). 2- Đạt 19 tiêu chí xã nông thôn mới nâng cao giai đoạn 2021 - 2025, gồm: 1- Quy hoạch; 2- Giao thông; 3- Thủy lợi và phòng, chống thiên tai; 4- Điện; 5- Giáo dục; 6- Văn hóa; 7- Cơ sở hạ tầng thương mại nông thôn; 8- Thông tin và Truyền thông; 9- Nhà ở dân cư; 10- Thu nhập; 11- Nghèo đa chiều; 12- Lao động; 13- Tổ chức sản xuất và phát triển kinh tế nông thôn; 14- Y tế; 15- Hành chính công; 16- Tiếp cận pháp luật; 17- Môi trường; 18- Chất lượng môi trường sống; 19- Quốc phòng và An ninh.</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Trong đó, về tiêu chí quy hoạch có các nội dung: Có quy hoạch chung xây dựng xã còn thời hạn hoặc đã được rà soát, điều chỉnh theo quy định của pháp luật về quy hoạch; có quy chế quản lý và tổ chức thực hiện quy hoạch xây dựng và quản lý xây dựng theo quy hoạch; 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Tiêu chí giao thông gồm các nội dung: Tỷ lệ đường xã được bảo trì hàng năm, đảm bảo sáng - xanh - sạch - đẹp và có các hạng mục cần thiết (biển báo, biển chỉ dẫn, chiếu sáng, gờ giảm tốc, cây xanh…) theo quy định; tỷ lệ đường thôn, bản, ấp và đường liên thôn, bản, ấp: Được cứng hóa và bảo trì hàng năm; có các hạng mục cần thiết theo quy định (biển báo, biển chỉ dẫn, chiếu sáng, gờ giảm tốc, cây xanh…) và đảm bảo sáng - xanh - sạch - đẹp; tỷ lệ đường ngõ, xóm được cứng hóa, đảm bảo sáng - xanh - sạch - đẹp; tỷ lệ đường trục chính nội đồng được cứng hóa đáp ứng yêu cầu sản xuất và vận chuyển hàng hóa.</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lastRenderedPageBreak/>
        <w:t>Về thu nhập bình quân đầu người năm 2022, chỉ tiêu chung là từ 58 triệu đồng/người trở lên; còn đối với vùng Trung du miền núi phía Bắc, vùng Bắc Trung bộ là từ 47 triệu đồng/người trở lên; vùng Đồng bằng sông Hồng, Đồng bằng sông Cửu Long là từ 64 triệu đồng/người trở lên; vùng Duyên hải Nam Trung Bộ, Tây Nguyên là từ 52 triệu đồng/người trở lên; vùng Đông Nam Bộ là từ 76 triệu đồng/người trở lên.</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Đối với các xã đặc biệt khó khăn, xã an toàn khu thuộc huyện nghèo và huyện vừa thoát nghèo giai đoạn 2018 - 2020, mức đạt chuẩn nông thôn mới hoặc đạt chuẩn nông thôn mới nâng cao được áp dụng theo quy định đạt chuẩn đối với vùng Trung du miền núi phía Bắc.</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Quy định xã nông thôn mới kiểu mẫu giai đoạn 2021 - 2025, gồm các tiêu chí sau: 1- Đạt chuẩn nông thôn mới nâng cao giai đoạn 2021 - 2025; đối với các xã đã được công nhận đạt chuẩn nông thôn mới nâng cao giai đoạn 2018 - 2020, phải tập trung rà soát, chỉ đạo thực hiện, đáp ứng đầy đủ mức đạt chuẩn theo yêu cầu của Bộ tiêu chí quốc gia về xã nông thôn mới nâng cao giai đoạn 2021 - 2025. 2- Thu nhập bình quân đầu người của xã tại thời điểm xét, công nhận xã nông thôn mới kiểu mẫu phải cao hơn từ 10% trở lên so với mức thu nhập bình quân đầu người áp dụng theo quy định đối với xã nông thôn mới nâng cao tại cùng thời điểm. 3- Có ít nhất một mô hình thôn thông minh, do Ủy ban nhân dân cấp tỉnh quy định cụ thể. 4- Đạt tiêu chí quy định xã nông thôn mới kiểu mẫu theo ít nhất một trong các lĩnh vực nổi trội nhất (về sản xuất, về giáo dục, về văn hóa, về du lịch, về cảnh quan môi trường, về an ninh trật tự, về chuyển đổi số…) mang giá trị đặc trưng của địa phương, do Ủy ban nhân dân cấp tỉnh ban hành.</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Bộ tiêu chí quốc gia về huyện nông thôn mới giai đoạn 2021 - 2025, như sau: 1) Có 100% số xã trên địa bàn đạt chuẩn nông thôn mới (đáp ứng đầy đủ mức đạt chuẩn theo yêu cầu của Bộ tiêu chí quốc gia về xã nông thôn mới giai đoạn 2021 - 2025). 2) Có ít nhất 10% số xã trên địa bàn đạt chuẩn nông thôn mới nâng cao (đáp ứng đầy đủ mức đạt chuẩn theo yêu cầu của Bộ tiêu chí quốc gia về xã nông thôn mới nâng cao giai đoạn 2021 - 2025). 3) Có 100% số thị trấn trên địa bàn đạt chuẩn đô thị văn minh. 4) Tỷ lệ hài lòng của người dân trên địa bàn đối với kết quả xây dựng nông thôn mới của huyện đạt từ 90% trở lên (trong đó có tỷ lệ hài lòng của người dân ở từng xã đối với kết quả thực hiện từng nội dung xây dựng nông thôn mới đạt từ 80% trở lên). 5) Đạt các tiêu chí huyện nông thôn mới giai đoạn 2021 -  2025, bao gồm các tiêu chí về: Giao thông, quy hoạch, điện, y tế, văn hóa, giáo dục, kinh tế…</w:t>
      </w:r>
    </w:p>
    <w:p w:rsidR="00367BF4" w:rsidRPr="00367BF4" w:rsidRDefault="00367BF4" w:rsidP="00367BF4">
      <w:pPr>
        <w:spacing w:after="0" w:line="240" w:lineRule="auto"/>
        <w:ind w:firstLine="567"/>
        <w:jc w:val="both"/>
        <w:rPr>
          <w:rFonts w:eastAsia="Times New Roman" w:cs="Times New Roman"/>
          <w:b/>
          <w:szCs w:val="28"/>
        </w:rPr>
      </w:pPr>
      <w:r w:rsidRPr="00367BF4">
        <w:rPr>
          <w:rFonts w:eastAsia="Times New Roman" w:cs="Times New Roman"/>
          <w:b/>
          <w:szCs w:val="28"/>
        </w:rPr>
        <w:t>6. Quy hoạch chung thành phố Phú Quốc, tỉnh Kiên Giang đến năm 2040</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 xml:space="preserve">Phú Quốc được tạp chí Time danh tiếng vinh danh là 1 trong “100 điểm đến tuyệt vời nhất thế giới 2021”, lọt top 15 hòn đảo tốt nhất để sống do trang International Living dựa trên xu hướng trong hơn 40 năm qua, nằm trong top 50 bãi biển đẹp nhất thế giới... Trong 5 năm qua, tốc độ tăng giá trị sản xuất ngành thương </w:t>
      </w:r>
      <w:r w:rsidRPr="00367BF4">
        <w:rPr>
          <w:rFonts w:eastAsia="Times New Roman" w:cs="Times New Roman"/>
          <w:szCs w:val="28"/>
        </w:rPr>
        <w:lastRenderedPageBreak/>
        <w:t xml:space="preserve">mại - dịch vụ thành phố trên 19%/năm, cao gấp 2 lần của tỉnh; huy động vốn đầu tư toàn xã hội đạt 141.652 tỷ đồng, vượt 57% so với kế hoạch; thu ngân sách tăng bình quân 19%/năm, chiếm hơn 40% tổng thu của tỉnh. Du lịch trở thành ngành kinh tế mũi nhọn, lượng khách bình quân mỗi năm tăng 28%; trong đó khách quốc tế tăng hơn 45%. Thực hiện “Đề án tổng thể phát triển đảo Phú Quốc, tỉnh Kiên Giang đến năm 2010 và tầm nhìn đến năm 2020” được Thủ tướng Chính phủ phê duyệt tại Quyết định số 178/2004/QĐ-TTg, tính đến năm 2021, thành phố Phú Quốc đã thu hút 372 dự án đầu tư với tổng vốn đăng ký khoảng 16,5 tỷ USD. Dự báo sơ bộ quy mô dân số đến năm 2030 khoảng </w:t>
      </w:r>
      <w:r w:rsidRPr="00367BF4">
        <w:rPr>
          <w:rFonts w:eastAsia="Times New Roman" w:cs="Times New Roman"/>
          <w:spacing w:val="-6"/>
          <w:szCs w:val="28"/>
        </w:rPr>
        <w:t>400.000 người (trong đó bao gồm dân số quy đổi từ khách du lịch, lao động tạm trú... khoảng 145.000 người). Đến năm 2040 khoảng 680.000 người (trong đó bao gồm dân số quy đổi từ khách du lịch, lao động tạm trú... khoảng 250.000 người). Dự báo sơ bộ nhu cầu sử dụng đất xây dựng đô thị đến năm 2030 là khoảng 8.000 - 10.000 ha; chỉ tiêu trung bình khoảng 200 - 250 m</w:t>
      </w:r>
      <w:r w:rsidRPr="00367BF4">
        <w:rPr>
          <w:rFonts w:eastAsia="Times New Roman" w:cs="Times New Roman"/>
          <w:spacing w:val="-6"/>
          <w:szCs w:val="28"/>
          <w:vertAlign w:val="superscript"/>
        </w:rPr>
        <w:t>2</w:t>
      </w:r>
      <w:r w:rsidRPr="00367BF4">
        <w:rPr>
          <w:rFonts w:eastAsia="Times New Roman" w:cs="Times New Roman"/>
          <w:spacing w:val="-6"/>
          <w:szCs w:val="28"/>
        </w:rPr>
        <w:t>/người. Dự báo quy mô đất xây dựng đô thị đến năm 2040 là khoảng 14.000 - 17.000 ha; chỉ tiêu trung bình khoảng 220 - 250 m</w:t>
      </w:r>
      <w:r w:rsidRPr="00367BF4">
        <w:rPr>
          <w:rFonts w:eastAsia="Times New Roman" w:cs="Times New Roman"/>
          <w:spacing w:val="-6"/>
          <w:szCs w:val="28"/>
          <w:vertAlign w:val="superscript"/>
        </w:rPr>
        <w:t>2</w:t>
      </w:r>
      <w:r w:rsidRPr="00367BF4">
        <w:rPr>
          <w:rFonts w:eastAsia="Times New Roman" w:cs="Times New Roman"/>
          <w:spacing w:val="-6"/>
          <w:szCs w:val="28"/>
        </w:rPr>
        <w:t>/người.</w:t>
      </w:r>
      <w:r w:rsidRPr="00367BF4">
        <w:rPr>
          <w:rFonts w:eastAsia="Times New Roman" w:cs="Times New Roman"/>
          <w:szCs w:val="28"/>
        </w:rPr>
        <w:t xml:space="preserve">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Nhằm phát huy những lợi thế của Phú Quốc, tại cuộc làm việc với lãnh đạo tỉnh Kiên Giang đầu năm 2022, Thủ tướng Chính phủ đã chỉ đạo tỉnh Kiên Giang chủ động phối hợp với các bộ, ngành Trung ương sớm trình Thủ tướng Chính phủ "Đề án thí điểm một số cơ chế chính sách đặc thù phát triển thành phố Phú Quốc" để thu hút các nhà đầu tư lớn, có năng lực thực sự, tạo điều kiện cho Phú Quốc phát triển trở thành trung tâm du lịch, dịch vụ của cả nước, khu vực Đông Nam Á và Quốc tế... Đặc biệt, ngày 23/6/2022, Thủ tướng đã ký Quyết định 767/QĐ-TTg phê duyệt nhiệm vụ Quy hoạch chung thành phố Phú Quốc đến năm 2040, với những nội dung quan trọng sau:</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Phạm vi lập Quy hoạch chung thành phố Phú Quốc đến năm 2040 bao gồm toàn bộ diện tích đất tự nhiên 589,27 km</w:t>
      </w:r>
      <w:r w:rsidRPr="00367BF4">
        <w:rPr>
          <w:rFonts w:eastAsia="Times New Roman" w:cs="Times New Roman"/>
          <w:szCs w:val="28"/>
          <w:vertAlign w:val="superscript"/>
        </w:rPr>
        <w:t>2</w:t>
      </w:r>
      <w:r w:rsidRPr="00367BF4">
        <w:rPr>
          <w:rFonts w:eastAsia="Times New Roman" w:cs="Times New Roman"/>
          <w:szCs w:val="28"/>
        </w:rPr>
        <w:t xml:space="preserve"> gồm có: 2 phường Dương Đông, An Thới và 7 xã: Cửa Cạn, Gành Dầu, Bãi Thơm, Hàm Ninh, Cửa Dương, Dương Tơ và Thổ Châu. Mục tiêu lập quy hoạch là phát triển thành phố Phú Quốc với tầm nhìn dài hạn và đáp ứng yêu cầu phát triển theo các giai đoạn quy hoạch thông qua chiến lược phát triển toàn diện, cân bằng và bền vững, hài hòa giữa phát triển kinh tế với bảo vệ môi trường, bảo tồn di tích lịch sử, văn hóa và bảo đảm an ninh, quốc phòng; đảm bảo khả năng đáp ứng nhu cầu phát triển trong trường hợp hình thành Khu hành chính - kinh tế đặc biệt và tách xã đảo Thổ Châu (Thổ Chu) thành huyện đảo riêng. Phát triển thành phố Phú Quốc trở thành một đô thị biển đảo đặc sắc; một trung tâm du lịch, nghỉ dưỡng và dịch vụ có bản sắc, chất lượng cao, có sức hấp dẫn đối với du khách trong nước và quốc tế; trung tâm thương mại, dịch vụ và trung tâm chăm sóc sức khỏe, điều dưỡng ứng dụng công nghệ cao ở tầm cỡ khu vực và quốc tế; trung tâm chính trị - văn hóa; một không gian sống có chất lượng và gắn bó của người dân trên đảo; quản lý phát triển đô thị theo hướng tăng trưởng xanh, thông minh, tiết kiệm năng lượng và thích ứng với biến đổi khí hậu, tạo </w:t>
      </w:r>
      <w:r w:rsidRPr="00367BF4">
        <w:rPr>
          <w:rFonts w:eastAsia="Times New Roman" w:cs="Times New Roman"/>
          <w:szCs w:val="28"/>
        </w:rPr>
        <w:lastRenderedPageBreak/>
        <w:t>nguồn lực cho đầu tư phát triển. Làm cơ sở pháp lý để quản lý, thu hút đầu tư và triển khai lập các đồ án quy hoạch phân khu, quy hoạch chi tiết, dự án đầu tư xây dựng hạ tầng kỹ thuật khung trong đô thị. Xây dựng Phú Quốc trở thành đô thị biển - đảo độc đáo, đặc sắc, hướng tới đạt tiêu chuẩn đô thị loại I, là khu kinh tế có vị thế đặc biệt; trung tâm kinh tế du lịch, dịch vụ du lịch sinh thái biển - đảo đặc sắc và có tiềm năng phát triển thành khu du lịch quốc gia, với nhiều giá trị khác biệt, chất lượng cao của quốc gia và quốc tế; trung tâm thương mại, dịch vụ tầm cỡ khu vực và quốc tế; trung tâm chăm sóc sức khỏe, điều dưỡng ứng dụng công nghệ cao của khu vực và quốc tế; đầu mối quan trọng về giao thông vận tải nội vùng, cảng biển và cảng hàng không quốc tế; trung tâm nghiên cứu khoa học công nghệ chuyên ngành; trung tâm bảo tồn đa dạng sinh học rừng và biển của quốc gia và khu vực; có vị trí đặc biệt về an ninh và quốc phòng.</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Các quan điểm khi quy hoạch: Nghiên cứu, kế thừa các định hướng, giải pháp, phương án quy hoạch còn phù hợp trong điều chỉnh Quy hoạch chung xây dựng đảo Phú Quốc đã được Thủ tướng Chính phủ phê duyệt tại các Quyết định số 633/QĐ-TTg ngày 11/5/2010, Quyết định số 868/QĐ-TTg ngày 17/6/2015 và Quyết định số 486/QĐ-TTg ngày 30/3/2021; phù hợp thống nhất với quy hoạch có liên quan. Bảo tồn, nâng cao và phát huy tổng thể các giá trị sinh thái biển, đảo, rừng, núi, văn hóa, lịch sử, các ngành kinh tế truyền thống... để phát triển du lịch và đô thị với quy mô và phương thức phù hợp, đảm bảo sự đặc sắc, phong phú, hiệu quả. Sử dụng tiết kiệm quỹ đất, có dự phòng cho tương lai, đảm bảo mật độ dân cư và du khách để có thể phát triển giao thông công cộng, quản lý bền vững tài nguyên rừng tự nhiên. Quy hoạch đa dạng các không gian phát triển du lịch, dịch vụ, cũng như các sản phẩm du lịch. Nghiên cứu khả năng phát triển, xây dựng trên biển để phát huy giá trị đặc trưng và bản sắc đô thị biển đảo, nhưng phải được đánh giá đầy đủ các tác động đến môi trường sinh thái, cũng như hiệu quả phát triển...; đảm bảo phù hợp với quy hoạch tổng thể, quy hoạch ngành quốc gia. Rà soát ranh rừng hiện trạng đang quản lý, nghiên cứu điều chỉnh, chuyển đổi các khu vực có giá trị phát triển, nhưng cần phải bảo đảm diện tích đất rừng cho hệ sinh thái đặc trưng và các giá trị do hệ sinh thái rừng Phú Quốc mang lại; bảo vệ tối đa diện tích đất rừng tự nhiên, rừng đặc dụng, rừng phòng hộ. Phát triển hệ thống hạ tầng kỹ thuật hiện đại xứng đáng tầm cỡ quốc tế, đặc biệt là giao thông công cộng, quản lý nguồn nước bền vững, xử lý nước thải, rác thải, cung cấp điện,... và bảo vệ môi trường.</w:t>
      </w:r>
    </w:p>
    <w:p w:rsidR="00367BF4" w:rsidRPr="00367BF4" w:rsidRDefault="00367BF4" w:rsidP="00367BF4">
      <w:pPr>
        <w:spacing w:after="0" w:line="240" w:lineRule="auto"/>
        <w:ind w:firstLine="567"/>
        <w:jc w:val="both"/>
        <w:rPr>
          <w:rFonts w:eastAsia="Times New Roman" w:cs="Times New Roman"/>
          <w:spacing w:val="4"/>
          <w:szCs w:val="28"/>
        </w:rPr>
      </w:pPr>
      <w:r w:rsidRPr="00367BF4">
        <w:rPr>
          <w:rFonts w:eastAsia="Times New Roman" w:cs="Times New Roman"/>
          <w:spacing w:val="4"/>
          <w:szCs w:val="28"/>
        </w:rPr>
        <w:t xml:space="preserve">Xác định vùng phát triển đô thị - du lịch, vùng bảo tồn sinh thái cảnh quan tự nhiên, vùng sinh thái nông - lâm - ngư nghiệp; cụ thể định hướng và nguyên tắc phát triển đối với từng vùng. Nghiên cứu, đề xuất các giải pháp quy hoạch sử dụng đất phù hợp với mục tiêu và quan điểm quy hoạch, đáp ứng yêu cầu của quy mô quy hoạch theo từng giai đoạn; giải pháp đề xuất về quy hoạch đa dạng các không gian phát triển du lịch, dịch vụ, đô thị, đặc biệt là tại khu vực các không gian ven biển, không gian công cộng trên cơ sở phân bố hài hòa, không </w:t>
      </w:r>
      <w:r w:rsidRPr="00367BF4">
        <w:rPr>
          <w:rFonts w:eastAsia="Times New Roman" w:cs="Times New Roman"/>
          <w:spacing w:val="4"/>
          <w:szCs w:val="28"/>
        </w:rPr>
        <w:lastRenderedPageBreak/>
        <w:t xml:space="preserve">làm ảnh hưởng cảnh quan tự nhiên tại khu vực, tuân thủ các quy định pháp luật về đất đai, bảo vệ môi trường biển, hải đảo và các quy định của pháp luật khác có liên quan. Hệ thống trung tâm chuyên ngành và tổng hợp, bao gồm hành chính, trung tâm thương mại, dịch vụ, trung tâm công cộng, thể dục thể thao, công viên, cây xanh và không gian mở. Chú trọng phát triển các trung tâm đô thị du lịch đa chức năng, thúc đẩy phát triển dịch vụ và du lịch. Xác định các phân vùng kiến trúc, cảnh quan đặc trưng; các trục không gian chính, hệ thống quảng trường, khu vực cửa ngõ, công trình điểm nhấn trong tổ chức không gian thành phố; đề xuất nguyên tắc, các định hướng phát triển, giải pháp chính về tổ chức không gian cho các khu vực trên và các nội dung thiết kế đô thị theo quy định. Đảm bảo sự gắn kết và liên hệ giữa các khu vực hiện có với các khu vực phát triển mới, hạn chế tối đa đền bù giải tỏa, nhưng vẫn phải đảm bảo tổ chức không gian đô thị khang trang, hiện đại… </w:t>
      </w:r>
    </w:p>
    <w:p w:rsidR="00367BF4" w:rsidRPr="00367BF4" w:rsidRDefault="00367BF4" w:rsidP="00367BF4">
      <w:pPr>
        <w:spacing w:after="0" w:line="240" w:lineRule="auto"/>
        <w:ind w:firstLine="567"/>
        <w:jc w:val="both"/>
        <w:rPr>
          <w:rFonts w:eastAsia="Times New Roman" w:cs="Times New Roman"/>
          <w:szCs w:val="28"/>
        </w:rPr>
      </w:pPr>
      <w:r w:rsidRPr="00367BF4">
        <w:rPr>
          <w:rFonts w:eastAsia="Times New Roman" w:cs="Times New Roman"/>
          <w:szCs w:val="28"/>
        </w:rPr>
        <w:t>Định hướng phát triển các khu vực dân cư nông thôn đảm bảo kết nối tốt với các trung tâm phát triển của thành phố; nâng cao chất lượng môi trường sống trong khu dân cư; duy trì được và nâng cao hiệu quả kinh tế của các ngành nghề truyền thống; tạo điều kiện để người dân tham gia phát triển dịch vụ du lịch sinh thái, du lịch cộng đồng gắn với các vùng sinh thái nông nghiệp, các vùng cảnh quan ven biển. Xác định các giải pháp giao thông đối ngoại kết nối với đất liền như: Cảng hàng không quốc tế Phú Quốc, cảng Dương Đông, cảng An Thới; mạng lưới giao thông chính liên kết phạm vi toàn thành phố; tổ chức hệ thống giao thông công cộng và hệ thống bến, bãi đỗ xe đảm bảo đáp ứng đủ nhu cầu vận tải và phát triển du lịch (bao gồm cả giao thông đường thủy); tổ chức giao thông trong mỗi khu vực; vị trí và quy mô các công trình đầu mối giao thông... Đặc biệt các công trình như: sân bay, cảng biển phải được đầu tư xây dựng hiện đại, đạt tầm cỡ khu vực và quốc tế, hệ thống giao thông công cộng có tính đến giao thông quy mô lớn, đáp ứng yêu cầu phát triển sử dụng hiện tại và tương lai lâu dài; xác định chỉ giới đường đỏ các trục giao thông chính và hệ thống hào, tuy-nen kỹ thuật…</w:t>
      </w:r>
    </w:p>
    <w:p w:rsidR="00E4565A" w:rsidRDefault="00367BF4">
      <w:bookmarkStart w:id="1" w:name="_GoBack"/>
      <w:bookmarkEnd w:id="1"/>
      <w:r>
        <w:rPr>
          <w:noProof/>
        </w:rPr>
        <mc:AlternateContent>
          <mc:Choice Requires="wps">
            <w:drawing>
              <wp:anchor distT="0" distB="0" distL="114300" distR="114300" simplePos="0" relativeHeight="251659264" behindDoc="0" locked="0" layoutInCell="1" allowOverlap="1">
                <wp:simplePos x="0" y="0"/>
                <wp:positionH relativeFrom="column">
                  <wp:posOffset>1818626</wp:posOffset>
                </wp:positionH>
                <wp:positionV relativeFrom="paragraph">
                  <wp:posOffset>326351</wp:posOffset>
                </wp:positionV>
                <wp:extent cx="1754155"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754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2pt,25.7pt" to="281.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" strokecolor="#4579b8 [3044]"/>
            </w:pict>
          </mc:Fallback>
        </mc:AlternateContent>
      </w:r>
    </w:p>
    <w:sectPr w:rsidR="00E4565A" w:rsidSect="00D743A8">
      <w:headerReference w:type="even" r:id="rId11"/>
      <w:headerReference w:type="default" r:id="rId12"/>
      <w:pgSz w:w="12240" w:h="15840"/>
      <w:pgMar w:top="1418" w:right="851" w:bottom="1418"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4B" w:rsidRDefault="00ED374B" w:rsidP="00367BF4">
      <w:pPr>
        <w:spacing w:after="0" w:line="240" w:lineRule="auto"/>
      </w:pPr>
      <w:r>
        <w:separator/>
      </w:r>
    </w:p>
  </w:endnote>
  <w:endnote w:type="continuationSeparator" w:id="0">
    <w:p w:rsidR="00ED374B" w:rsidRDefault="00ED374B" w:rsidP="0036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4B" w:rsidRDefault="00ED374B" w:rsidP="00367BF4">
      <w:pPr>
        <w:spacing w:after="0" w:line="240" w:lineRule="auto"/>
      </w:pPr>
      <w:r>
        <w:separator/>
      </w:r>
    </w:p>
  </w:footnote>
  <w:footnote w:type="continuationSeparator" w:id="0">
    <w:p w:rsidR="00ED374B" w:rsidRDefault="00ED374B" w:rsidP="00367BF4">
      <w:pPr>
        <w:spacing w:after="0" w:line="240" w:lineRule="auto"/>
      </w:pPr>
      <w:r>
        <w:continuationSeparator/>
      </w:r>
    </w:p>
  </w:footnote>
  <w:footnote w:id="1">
    <w:p w:rsidR="00367BF4" w:rsidRPr="00087206" w:rsidRDefault="00367BF4" w:rsidP="00367BF4">
      <w:pPr>
        <w:pStyle w:val="FootnoteText"/>
        <w:jc w:val="both"/>
      </w:pPr>
      <w:r w:rsidRPr="00087206">
        <w:rPr>
          <w:rStyle w:val="FootnoteReference"/>
        </w:rPr>
        <w:footnoteRef/>
      </w:r>
      <w:r w:rsidRPr="00087206">
        <w:t xml:space="preserve"> Theo nguồn tin từ Quỹ tiền tệ quốc tế (IMF).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CD" w:rsidRDefault="00ED374B" w:rsidP="007C2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BCD" w:rsidRDefault="00ED3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CD" w:rsidRDefault="00ED374B" w:rsidP="007C2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BF4">
      <w:rPr>
        <w:rStyle w:val="PageNumber"/>
        <w:noProof/>
      </w:rPr>
      <w:t>24</w:t>
    </w:r>
    <w:r>
      <w:rPr>
        <w:rStyle w:val="PageNumber"/>
      </w:rPr>
      <w:fldChar w:fldCharType="end"/>
    </w:r>
  </w:p>
  <w:p w:rsidR="00397BCD" w:rsidRPr="00D743A8" w:rsidRDefault="00ED374B">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F4"/>
    <w:rsid w:val="00367BF4"/>
    <w:rsid w:val="00DE215A"/>
    <w:rsid w:val="00E4565A"/>
    <w:rsid w:val="00ED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BF4"/>
  </w:style>
  <w:style w:type="character" w:styleId="PageNumber">
    <w:name w:val="page number"/>
    <w:basedOn w:val="DefaultParagraphFont"/>
    <w:rsid w:val="00367BF4"/>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C,脚注文本 Ch,A"/>
    <w:basedOn w:val="Normal"/>
    <w:link w:val="FootnoteTextChar"/>
    <w:uiPriority w:val="99"/>
    <w:unhideWhenUsed/>
    <w:qFormat/>
    <w:rsid w:val="00367BF4"/>
    <w:pPr>
      <w:spacing w:after="0" w:line="240" w:lineRule="auto"/>
    </w:pPr>
    <w:rPr>
      <w:rFonts w:eastAsia="Calibri" w:cs="Times New Roman"/>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367BF4"/>
    <w:rPr>
      <w:rFonts w:eastAsia="Calibri" w:cs="Times New Roman"/>
      <w:sz w:val="20"/>
      <w:szCs w:val="20"/>
      <w:lang w:val="x-none" w:eastAsia="x-none"/>
    </w:rPr>
  </w:style>
  <w:style w:type="character" w:styleId="FootnoteReference">
    <w:name w:val="footnote reference"/>
    <w:aliases w:val="ftref Char1 Char,Footnote text Char1 Char,16 Point Char1 Char,Superscript 6 Point Char1 Char,Superscript 6 Point + 11 pt Char Char,(NECG) Footnote Reference Char Char,Fußnotenzeichen DISS Char Char,fr Char1 Char,ftref,Footnote text,fr,f"/>
    <w:link w:val="ftrefChar1"/>
    <w:uiPriority w:val="99"/>
    <w:unhideWhenUsed/>
    <w:qFormat/>
    <w:rsid w:val="00367BF4"/>
    <w:rPr>
      <w:vertAlign w:val="superscript"/>
    </w:rPr>
  </w:style>
  <w:style w:type="paragraph" w:customStyle="1" w:styleId="ftrefChar1">
    <w:name w:val="ftref Char1"/>
    <w:aliases w:val="Footnote text Char1,16 Point Char1,Superscript 6 Point Char1,Superscript 6 Point + 11 pt Char,(NECG) Footnote Reference Char,Fußnotenzeichen DISS Char,fr Char1,Footnote Ref in FtNote Char,BVI fnr Char,E FNZ Char,ftref Char,Footnote text Char"/>
    <w:basedOn w:val="Normal"/>
    <w:link w:val="FootnoteReference"/>
    <w:uiPriority w:val="99"/>
    <w:rsid w:val="00367BF4"/>
    <w:pPr>
      <w:spacing w:after="160" w:line="240" w:lineRule="exact"/>
    </w:pPr>
    <w:rPr>
      <w:vertAlign w:val="superscript"/>
    </w:rPr>
  </w:style>
  <w:style w:type="paragraph" w:styleId="Footer">
    <w:name w:val="footer"/>
    <w:basedOn w:val="Normal"/>
    <w:link w:val="FooterChar"/>
    <w:uiPriority w:val="99"/>
    <w:unhideWhenUsed/>
    <w:rsid w:val="0036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BF4"/>
  </w:style>
  <w:style w:type="character" w:styleId="PageNumber">
    <w:name w:val="page number"/>
    <w:basedOn w:val="DefaultParagraphFont"/>
    <w:rsid w:val="00367BF4"/>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C,脚注文本 Ch,A"/>
    <w:basedOn w:val="Normal"/>
    <w:link w:val="FootnoteTextChar"/>
    <w:uiPriority w:val="99"/>
    <w:unhideWhenUsed/>
    <w:qFormat/>
    <w:rsid w:val="00367BF4"/>
    <w:pPr>
      <w:spacing w:after="0" w:line="240" w:lineRule="auto"/>
    </w:pPr>
    <w:rPr>
      <w:rFonts w:eastAsia="Calibri" w:cs="Times New Roman"/>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367BF4"/>
    <w:rPr>
      <w:rFonts w:eastAsia="Calibri" w:cs="Times New Roman"/>
      <w:sz w:val="20"/>
      <w:szCs w:val="20"/>
      <w:lang w:val="x-none" w:eastAsia="x-none"/>
    </w:rPr>
  </w:style>
  <w:style w:type="character" w:styleId="FootnoteReference">
    <w:name w:val="footnote reference"/>
    <w:aliases w:val="ftref Char1 Char,Footnote text Char1 Char,16 Point Char1 Char,Superscript 6 Point Char1 Char,Superscript 6 Point + 11 pt Char Char,(NECG) Footnote Reference Char Char,Fußnotenzeichen DISS Char Char,fr Char1 Char,ftref,Footnote text,fr,f"/>
    <w:link w:val="ftrefChar1"/>
    <w:uiPriority w:val="99"/>
    <w:unhideWhenUsed/>
    <w:qFormat/>
    <w:rsid w:val="00367BF4"/>
    <w:rPr>
      <w:vertAlign w:val="superscript"/>
    </w:rPr>
  </w:style>
  <w:style w:type="paragraph" w:customStyle="1" w:styleId="ftrefChar1">
    <w:name w:val="ftref Char1"/>
    <w:aliases w:val="Footnote text Char1,16 Point Char1,Superscript 6 Point Char1,Superscript 6 Point + 11 pt Char,(NECG) Footnote Reference Char,Fußnotenzeichen DISS Char,fr Char1,Footnote Ref in FtNote Char,BVI fnr Char,E FNZ Char,ftref Char,Footnote text Char"/>
    <w:basedOn w:val="Normal"/>
    <w:link w:val="FootnoteReference"/>
    <w:uiPriority w:val="99"/>
    <w:rsid w:val="00367BF4"/>
    <w:pPr>
      <w:spacing w:after="160" w:line="240" w:lineRule="exact"/>
    </w:pPr>
    <w:rPr>
      <w:vertAlign w:val="superscript"/>
    </w:rPr>
  </w:style>
  <w:style w:type="paragraph" w:styleId="Footer">
    <w:name w:val="footer"/>
    <w:basedOn w:val="Normal"/>
    <w:link w:val="FooterChar"/>
    <w:uiPriority w:val="99"/>
    <w:unhideWhenUsed/>
    <w:rsid w:val="0036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bao.vn/chau-au-ptag.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ietnamplus.vn/tags/H%e1%bb%87-th%e1%bb%91ng-t%c3%a0i-ch%c3%adnh-ti%e1%bb%81n-t%e1%bb%87.vnp" TargetMode="External"/><Relationship Id="rId4" Type="http://schemas.openxmlformats.org/officeDocument/2006/relationships/settings" Target="settings.xml"/><Relationship Id="rId9" Type="http://schemas.openxmlformats.org/officeDocument/2006/relationships/hyperlink" Target="https://www.vietnamplus.vn/tags/T%e1%bb%95-ch%e1%bb%a9c-Th%c6%b0%c6%a1ng-m%e1%ba%a1i-Th%e1%ba%bf-gi%e1%bb%9bi.vn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B72C-09AE-4BD7-B01C-D07D35D1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10632</Words>
  <Characters>60605</Characters>
  <Application>Microsoft Office Word</Application>
  <DocSecurity>0</DocSecurity>
  <Lines>505</Lines>
  <Paragraphs>142</Paragraphs>
  <ScaleCrop>false</ScaleCrop>
  <Company>Microsoft</Company>
  <LinksUpToDate>false</LinksUpToDate>
  <CharactersWithSpaces>71095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2022-07-27T02:47:00Z</dcterms:created>
  <dcterms:modified xsi:type="dcterms:W3CDTF">2022-07-27T02:52:00Z</dcterms:modified>
</cp:coreProperties>
</file>